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07D" w:rsidRDefault="00B7707D" w:rsidP="00C60538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</w:t>
      </w:r>
      <w:r>
        <w:rPr>
          <w:b/>
          <w:noProof/>
        </w:rPr>
        <w:drawing>
          <wp:inline distT="0" distB="0" distL="0" distR="0">
            <wp:extent cx="342900" cy="504825"/>
            <wp:effectExtent l="19050" t="0" r="0" b="0"/>
            <wp:docPr id="1" name="Picture 1" descr="grb-srbij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srbij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ACD" w:rsidRPr="00C60538" w:rsidRDefault="00EE4ACD" w:rsidP="00C60538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60538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</w:p>
    <w:p w:rsidR="00EE4ACD" w:rsidRPr="00C60538" w:rsidRDefault="00EE4ACD" w:rsidP="00C60538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60538">
        <w:rPr>
          <w:rFonts w:ascii="Times New Roman" w:hAnsi="Times New Roman" w:cs="Times New Roman"/>
          <w:b/>
          <w:sz w:val="24"/>
          <w:szCs w:val="24"/>
          <w:lang w:val="sr-Cyrl-CS"/>
        </w:rPr>
        <w:t>ОПШТИНА</w:t>
      </w:r>
      <w:r w:rsidR="00F63F1D" w:rsidRPr="00C6053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БАТОЧИНА</w:t>
      </w:r>
    </w:p>
    <w:p w:rsidR="00EE4ACD" w:rsidRDefault="00EE4ACD" w:rsidP="00C605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0538">
        <w:rPr>
          <w:rFonts w:ascii="Times New Roman" w:hAnsi="Times New Roman" w:cs="Times New Roman"/>
          <w:b/>
          <w:sz w:val="24"/>
          <w:szCs w:val="24"/>
          <w:lang w:val="sr-Cyrl-CS"/>
        </w:rPr>
        <w:t>ОПШТИНСКА УПРАВА</w:t>
      </w:r>
    </w:p>
    <w:p w:rsidR="00995E57" w:rsidRDefault="00995E57" w:rsidP="00C60538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Одељење за имовинско-правне послове, </w:t>
      </w:r>
    </w:p>
    <w:p w:rsidR="00995E57" w:rsidRDefault="00995E57" w:rsidP="00C60538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урбанизам, грађевинарство, стамбено-комуналне , </w:t>
      </w:r>
    </w:p>
    <w:p w:rsidR="00995E57" w:rsidRDefault="00995E57" w:rsidP="00C605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инспекцијске послове и инвестиције</w:t>
      </w:r>
    </w:p>
    <w:p w:rsidR="00EA138D" w:rsidRPr="00EA138D" w:rsidRDefault="00EA138D" w:rsidP="00C60538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Одсек за инспекцијске послове</w:t>
      </w:r>
    </w:p>
    <w:p w:rsidR="00995E57" w:rsidRDefault="00995E57" w:rsidP="00C60538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број: 501-</w:t>
      </w:r>
      <w:r w:rsidR="003E5083">
        <w:rPr>
          <w:rFonts w:ascii="Times New Roman" w:hAnsi="Times New Roman" w:cs="Times New Roman"/>
          <w:b/>
          <w:sz w:val="24"/>
          <w:szCs w:val="24"/>
          <w:lang w:val="sr-Cyrl-CS"/>
        </w:rPr>
        <w:t>8</w:t>
      </w:r>
      <w:r w:rsidR="009C2A71">
        <w:rPr>
          <w:rFonts w:ascii="Times New Roman" w:hAnsi="Times New Roman" w:cs="Times New Roman"/>
          <w:b/>
          <w:sz w:val="24"/>
          <w:szCs w:val="24"/>
          <w:lang w:val="sr-Cyrl-CS"/>
        </w:rPr>
        <w:t>/</w:t>
      </w:r>
      <w:r w:rsidR="009C2A71">
        <w:rPr>
          <w:rFonts w:ascii="Times New Roman" w:hAnsi="Times New Roman" w:cs="Times New Roman"/>
          <w:b/>
          <w:sz w:val="24"/>
          <w:szCs w:val="24"/>
        </w:rPr>
        <w:t>2</w:t>
      </w:r>
      <w:r w:rsidR="0099294A">
        <w:rPr>
          <w:rFonts w:ascii="Times New Roman" w:hAnsi="Times New Roman" w:cs="Times New Roman"/>
          <w:b/>
          <w:sz w:val="24"/>
          <w:szCs w:val="24"/>
        </w:rPr>
        <w:t>3</w:t>
      </w:r>
      <w:r w:rsidR="00857150">
        <w:rPr>
          <w:rFonts w:ascii="Times New Roman" w:hAnsi="Times New Roman" w:cs="Times New Roman"/>
          <w:b/>
          <w:sz w:val="24"/>
          <w:szCs w:val="24"/>
        </w:rPr>
        <w:t>-</w:t>
      </w:r>
      <w:r w:rsidR="00520EDE">
        <w:rPr>
          <w:rFonts w:ascii="Times New Roman" w:hAnsi="Times New Roman" w:cs="Times New Roman"/>
          <w:b/>
          <w:sz w:val="24"/>
          <w:szCs w:val="24"/>
        </w:rPr>
        <w:t>IV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-03</w:t>
      </w:r>
    </w:p>
    <w:p w:rsidR="00995E57" w:rsidRDefault="00995E57" w:rsidP="00C60538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Датум:</w:t>
      </w:r>
      <w:r w:rsidR="00781637">
        <w:rPr>
          <w:rFonts w:ascii="Times New Roman" w:hAnsi="Times New Roman" w:cs="Times New Roman"/>
          <w:b/>
          <w:sz w:val="24"/>
          <w:szCs w:val="24"/>
        </w:rPr>
        <w:t>10</w:t>
      </w:r>
      <w:r w:rsidR="009C2A71">
        <w:rPr>
          <w:rFonts w:ascii="Times New Roman" w:hAnsi="Times New Roman" w:cs="Times New Roman"/>
          <w:b/>
          <w:sz w:val="24"/>
          <w:szCs w:val="24"/>
          <w:lang w:val="sr-Cyrl-CS"/>
        </w:rPr>
        <w:t>.02.20</w:t>
      </w:r>
      <w:r w:rsidR="00520EDE">
        <w:rPr>
          <w:rFonts w:ascii="Times New Roman" w:hAnsi="Times New Roman" w:cs="Times New Roman"/>
          <w:b/>
          <w:sz w:val="24"/>
          <w:szCs w:val="24"/>
        </w:rPr>
        <w:t>2</w:t>
      </w:r>
      <w:r w:rsidR="0099294A">
        <w:rPr>
          <w:rFonts w:ascii="Times New Roman" w:hAnsi="Times New Roman" w:cs="Times New Roman"/>
          <w:b/>
          <w:sz w:val="24"/>
          <w:szCs w:val="24"/>
        </w:rPr>
        <w:t>3</w:t>
      </w:r>
      <w:r w:rsidR="00EE4922">
        <w:rPr>
          <w:rFonts w:ascii="Times New Roman" w:hAnsi="Times New Roman" w:cs="Times New Roman"/>
          <w:b/>
          <w:sz w:val="24"/>
          <w:szCs w:val="24"/>
          <w:lang w:val="sr-Cyrl-CS"/>
        </w:rPr>
        <w:t>.г.</w:t>
      </w:r>
    </w:p>
    <w:p w:rsidR="00DF6309" w:rsidRPr="00963A87" w:rsidRDefault="00995E57" w:rsidP="00C605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 А Т О Ч И Н А </w:t>
      </w:r>
    </w:p>
    <w:p w:rsidR="00F63F1D" w:rsidRPr="00EE4ACD" w:rsidRDefault="00995E57" w:rsidP="00DF6309">
      <w:pPr>
        <w:rPr>
          <w:rFonts w:ascii="Arial" w:hAnsi="Arial" w:cs="Arial"/>
          <w:b/>
          <w:sz w:val="18"/>
          <w:szCs w:val="18"/>
          <w:lang w:val="sr-Cyrl-CS"/>
        </w:rPr>
      </w:pPr>
      <w:r>
        <w:rPr>
          <w:b/>
          <w:lang w:val="sr-Cyrl-CS"/>
        </w:rPr>
        <w:t xml:space="preserve"> </w:t>
      </w:r>
    </w:p>
    <w:p w:rsidR="007951E6" w:rsidRDefault="00F63F1D" w:rsidP="00F63F1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32"/>
          <w:lang w:val="sr-Cyrl-CS"/>
        </w:rPr>
        <w:t xml:space="preserve">    </w:t>
      </w:r>
      <w:r w:rsidR="007951E6">
        <w:rPr>
          <w:rFonts w:ascii="Arial" w:hAnsi="Arial" w:cs="Arial"/>
          <w:b/>
          <w:sz w:val="32"/>
          <w:szCs w:val="32"/>
        </w:rPr>
        <w:t>ГОДИШЊИ ИЗВЕШТАЈ</w:t>
      </w:r>
    </w:p>
    <w:p w:rsidR="00F63F1D" w:rsidRDefault="00F63F1D" w:rsidP="00F63F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</w:t>
      </w:r>
      <w:r w:rsidR="007951E6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О РАДУ </w:t>
      </w:r>
      <w:r w:rsidR="00602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1E6">
        <w:rPr>
          <w:rFonts w:ascii="Times New Roman" w:hAnsi="Times New Roman" w:cs="Times New Roman"/>
          <w:b/>
          <w:sz w:val="28"/>
          <w:szCs w:val="28"/>
          <w:lang w:val="sr-Cyrl-CS"/>
        </w:rPr>
        <w:t>ИНСПЕКТОРА ЗА</w:t>
      </w:r>
    </w:p>
    <w:p w:rsidR="007951E6" w:rsidRDefault="00F63F1D" w:rsidP="00F63F1D">
      <w:pPr>
        <w:spacing w:after="0"/>
        <w:jc w:val="center"/>
        <w:rPr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</w:t>
      </w:r>
      <w:r w:rsidR="007951E6">
        <w:rPr>
          <w:rFonts w:ascii="Times New Roman" w:hAnsi="Times New Roman" w:cs="Times New Roman"/>
          <w:b/>
          <w:sz w:val="28"/>
          <w:szCs w:val="28"/>
          <w:lang w:val="sr-Cyrl-CS"/>
        </w:rPr>
        <w:t>ЗАШТИТУ ЖИВОТНЕ СРЕДИНЕ  ЗА  20</w:t>
      </w:r>
      <w:r w:rsidR="00AB10D8">
        <w:rPr>
          <w:rFonts w:ascii="Times New Roman" w:hAnsi="Times New Roman" w:cs="Times New Roman"/>
          <w:b/>
          <w:sz w:val="28"/>
          <w:szCs w:val="28"/>
        </w:rPr>
        <w:t>2</w:t>
      </w:r>
      <w:r w:rsidR="0099294A">
        <w:rPr>
          <w:rFonts w:ascii="Times New Roman" w:hAnsi="Times New Roman" w:cs="Times New Roman"/>
          <w:b/>
          <w:sz w:val="28"/>
          <w:szCs w:val="28"/>
        </w:rPr>
        <w:t>2</w:t>
      </w:r>
      <w:r w:rsidR="007951E6">
        <w:rPr>
          <w:rFonts w:ascii="Times New Roman" w:hAnsi="Times New Roman" w:cs="Times New Roman"/>
          <w:b/>
          <w:sz w:val="28"/>
          <w:szCs w:val="28"/>
          <w:lang w:val="sr-Cyrl-CS"/>
        </w:rPr>
        <w:t>. Г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ОДИНУ</w:t>
      </w:r>
    </w:p>
    <w:p w:rsidR="00F63F1D" w:rsidRPr="00F63F1D" w:rsidRDefault="00F63F1D" w:rsidP="00F63F1D">
      <w:pPr>
        <w:spacing w:after="0"/>
        <w:jc w:val="center"/>
        <w:rPr>
          <w:lang w:val="sr-Cyrl-CS"/>
        </w:rPr>
      </w:pPr>
    </w:p>
    <w:p w:rsidR="007951E6" w:rsidRDefault="007951E6" w:rsidP="00424D6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складу са чланом 44. Закона о инспекцијском надзору („Службени гласник </w:t>
      </w:r>
      <w:r w:rsidR="00424D65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РС“, број </w:t>
      </w:r>
      <w:r w:rsidR="00424D65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36/2015</w:t>
      </w:r>
      <w:r w:rsidR="00BD4404">
        <w:rPr>
          <w:rFonts w:ascii="Times New Roman" w:hAnsi="Times New Roman" w:cs="Times New Roman"/>
          <w:sz w:val="28"/>
          <w:szCs w:val="28"/>
        </w:rPr>
        <w:t xml:space="preserve">, </w:t>
      </w:r>
      <w:r w:rsidR="00BD4404">
        <w:rPr>
          <w:rFonts w:ascii="Times New Roman" w:hAnsi="Times New Roman" w:cs="Times New Roman"/>
          <w:sz w:val="28"/>
          <w:szCs w:val="28"/>
          <w:lang w:val="sr-Cyrl-CS"/>
        </w:rPr>
        <w:t>44/18-др.закон</w:t>
      </w:r>
      <w:r w:rsidR="0029243B">
        <w:rPr>
          <w:rFonts w:ascii="Times New Roman" w:hAnsi="Times New Roman" w:cs="Times New Roman"/>
          <w:sz w:val="28"/>
          <w:szCs w:val="28"/>
        </w:rPr>
        <w:t xml:space="preserve"> </w:t>
      </w:r>
      <w:r w:rsidR="0029243B">
        <w:rPr>
          <w:rFonts w:ascii="Times New Roman" w:hAnsi="Times New Roman" w:cs="Times New Roman"/>
          <w:sz w:val="28"/>
          <w:szCs w:val="28"/>
          <w:lang w:val="sr-Cyrl-CS"/>
        </w:rPr>
        <w:t>и 95/2018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24D65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сачињен је </w:t>
      </w:r>
      <w:r w:rsidR="00382709">
        <w:rPr>
          <w:rFonts w:ascii="Times New Roman" w:hAnsi="Times New Roman" w:cs="Times New Roman"/>
          <w:sz w:val="28"/>
          <w:szCs w:val="28"/>
        </w:rPr>
        <w:t>извештај о раду за 202</w:t>
      </w:r>
      <w:r w:rsidR="009929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год</w:t>
      </w:r>
      <w:r w:rsidR="00382709">
        <w:rPr>
          <w:rFonts w:ascii="Times New Roman" w:hAnsi="Times New Roman" w:cs="Times New Roman"/>
          <w:sz w:val="28"/>
          <w:szCs w:val="28"/>
          <w:lang w:val="sr-Cyrl-CS"/>
        </w:rPr>
        <w:t>ину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D65" w:rsidRDefault="007951E6" w:rsidP="007951E6">
      <w:pPr>
        <w:jc w:val="both"/>
        <w:rPr>
          <w:rFonts w:ascii="Times New Roman" w:eastAsia="Cambria" w:hAnsi="Times New Roman" w:cs="Times New Roman"/>
          <w:sz w:val="28"/>
          <w:szCs w:val="28"/>
          <w:lang w:val="sr-Cyrl-CS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424D65">
        <w:rPr>
          <w:rFonts w:ascii="Times New Roman" w:eastAsia="Cambria" w:hAnsi="Times New Roman" w:cs="Times New Roman"/>
          <w:sz w:val="28"/>
          <w:szCs w:val="28"/>
          <w:lang w:val="sr-Cyrl-CS"/>
        </w:rPr>
        <w:tab/>
      </w:r>
      <w:r>
        <w:rPr>
          <w:rFonts w:ascii="Times New Roman" w:eastAsia="Cambria" w:hAnsi="Times New Roman" w:cs="Times New Roman"/>
          <w:sz w:val="28"/>
          <w:szCs w:val="28"/>
        </w:rPr>
        <w:t xml:space="preserve">У 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>извештајном периоду</w:t>
      </w:r>
      <w:r>
        <w:rPr>
          <w:rFonts w:ascii="Times New Roman" w:eastAsia="Cambria" w:hAnsi="Times New Roman" w:cs="Times New Roman"/>
          <w:sz w:val="28"/>
          <w:szCs w:val="28"/>
        </w:rPr>
        <w:t>, на по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>с</w:t>
      </w:r>
      <w:r>
        <w:rPr>
          <w:rFonts w:ascii="Times New Roman" w:eastAsia="Cambria" w:hAnsi="Times New Roman" w:cs="Times New Roman"/>
          <w:sz w:val="28"/>
          <w:szCs w:val="28"/>
        </w:rPr>
        <w:t xml:space="preserve">ловима </w:t>
      </w:r>
      <w:r w:rsidR="00AB10D8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шефа Одсека за инспекцијске послове који обавља послове </w:t>
      </w:r>
      <w:r w:rsidR="00272BA8">
        <w:rPr>
          <w:rFonts w:ascii="Times New Roman" w:eastAsia="Cambria" w:hAnsi="Times New Roman" w:cs="Times New Roman"/>
          <w:sz w:val="28"/>
          <w:szCs w:val="28"/>
          <w:lang w:val="sr-Cyrl-CS"/>
        </w:rPr>
        <w:t>инспекције за заштиту животне средине,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>рад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>ио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272BA8">
        <w:rPr>
          <w:rFonts w:ascii="Times New Roman" w:eastAsia="Cambria" w:hAnsi="Times New Roman" w:cs="Times New Roman"/>
          <w:sz w:val="28"/>
          <w:szCs w:val="28"/>
        </w:rPr>
        <w:t xml:space="preserve">је </w:t>
      </w:r>
      <w:r w:rsidR="00272BA8">
        <w:rPr>
          <w:rFonts w:ascii="Times New Roman" w:eastAsia="Cambria" w:hAnsi="Times New Roman" w:cs="Times New Roman"/>
          <w:sz w:val="28"/>
          <w:szCs w:val="28"/>
          <w:lang w:val="sr-Cyrl-CS"/>
        </w:rPr>
        <w:t>један</w:t>
      </w:r>
      <w:r w:rsidR="00424D65">
        <w:rPr>
          <w:rFonts w:ascii="Times New Roman" w:eastAsia="Cambria" w:hAnsi="Times New Roman" w:cs="Times New Roman"/>
          <w:sz w:val="28"/>
          <w:szCs w:val="28"/>
        </w:rPr>
        <w:t xml:space="preserve"> извршилац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>.</w:t>
      </w:r>
    </w:p>
    <w:p w:rsidR="00CE18A2" w:rsidRDefault="00424D65" w:rsidP="007951E6">
      <w:pPr>
        <w:jc w:val="both"/>
        <w:rPr>
          <w:rFonts w:ascii="Times New Roman" w:eastAsia="Cambria" w:hAnsi="Times New Roman" w:cs="Times New Roman"/>
          <w:sz w:val="28"/>
          <w:szCs w:val="28"/>
          <w:lang w:val="sr-Cyrl-CS"/>
        </w:rPr>
      </w:pPr>
      <w:r>
        <w:rPr>
          <w:rFonts w:ascii="Times New Roman" w:eastAsia="Cambria" w:hAnsi="Times New Roman" w:cs="Times New Roman"/>
          <w:sz w:val="28"/>
          <w:szCs w:val="28"/>
          <w:lang w:val="sr-Cyrl-CS"/>
        </w:rPr>
        <w:tab/>
        <w:t>Општи циљ Плана инспекцијског надзора је превенција и деловање ради спречавања загађивања животне средине и повећ</w:t>
      </w:r>
      <w:r w:rsidR="008D2550">
        <w:rPr>
          <w:rFonts w:ascii="Times New Roman" w:eastAsia="Cambria" w:hAnsi="Times New Roman" w:cs="Times New Roman"/>
          <w:sz w:val="28"/>
          <w:szCs w:val="28"/>
          <w:lang w:val="sr-Cyrl-CS"/>
        </w:rPr>
        <w:t>ања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поштовања еколошких стандарада.</w:t>
      </w:r>
    </w:p>
    <w:p w:rsidR="00CE18A2" w:rsidRPr="00CE18A2" w:rsidRDefault="007951E6" w:rsidP="00CE18A2">
      <w:pPr>
        <w:pStyle w:val="NoSpacing"/>
        <w:rPr>
          <w:rStyle w:val="Emphasis"/>
          <w:rFonts w:ascii="Times New Roman" w:hAnsi="Times New Roman"/>
          <w:b/>
          <w:i w:val="0"/>
          <w:iCs w:val="0"/>
          <w:sz w:val="28"/>
          <w:szCs w:val="28"/>
          <w:lang w:val="sr-Cyrl-CS"/>
        </w:rPr>
      </w:pPr>
      <w:r>
        <w:rPr>
          <w:rFonts w:ascii="Times New Roman" w:eastAsia="Cambria" w:hAnsi="Times New Roman"/>
          <w:sz w:val="28"/>
          <w:szCs w:val="28"/>
          <w:lang w:val="sr-Cyrl-CS"/>
        </w:rPr>
        <w:t xml:space="preserve"> </w:t>
      </w:r>
      <w:r w:rsidR="00CE18A2" w:rsidRPr="00CE18A2">
        <w:rPr>
          <w:rStyle w:val="Emphasis"/>
          <w:rFonts w:ascii="Times New Roman" w:hAnsi="Times New Roman"/>
          <w:b/>
          <w:i w:val="0"/>
          <w:iCs w:val="0"/>
          <w:sz w:val="28"/>
          <w:szCs w:val="28"/>
          <w:lang w:val="sr-Cyrl-CS"/>
        </w:rPr>
        <w:t>АКТИВНОСТИ У ОКВИРУ ПРОЦЕСА ИНСПЕКЦИЈСКОГ НАДЗОРА</w:t>
      </w:r>
    </w:p>
    <w:p w:rsidR="009E664C" w:rsidRDefault="00CE18A2" w:rsidP="00CE18A2">
      <w:pPr>
        <w:pStyle w:val="NoSpacing"/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</w:pPr>
      <w:r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  <w:t xml:space="preserve">1. Примена закона и других прописа којима се уређује заштита </w:t>
      </w:r>
      <w:r w:rsidR="009E664C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животне средине, тј. заштита ваздуха, воде и земљишта од загађења</w:t>
      </w:r>
      <w:r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.</w:t>
      </w:r>
      <w:r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</w:t>
      </w:r>
      <w:r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 xml:space="preserve"> </w:t>
      </w:r>
      <w:r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  <w:t>2. Примена закона и других прописа којима се уређује заштита од штетног деловања буке</w:t>
      </w:r>
    </w:p>
    <w:p w:rsidR="009E664C" w:rsidRDefault="009E664C" w:rsidP="00CE18A2">
      <w:pPr>
        <w:pStyle w:val="NoSpacing"/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</w:pP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 xml:space="preserve">3. Утврђивање 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</w:t>
      </w: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испуњености услова заштите животне средине за обављање делатности</w:t>
      </w: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  <w:t>4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 xml:space="preserve">. </w:t>
      </w: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Контрола спровођења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 xml:space="preserve"> мера заштите животне средине </w:t>
      </w: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утврђених С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туди</w:t>
      </w: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 xml:space="preserve">јом о </w:t>
      </w: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lastRenderedPageBreak/>
        <w:t>процени утицаја и налагања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 xml:space="preserve"> подношења захтева за одлучивање о потреби израде студије о процени утицаја на животну средину.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</w:t>
      </w:r>
    </w:p>
    <w:p w:rsidR="00CE18A2" w:rsidRPr="00CE18A2" w:rsidRDefault="009E664C" w:rsidP="00CE18A2">
      <w:pPr>
        <w:pStyle w:val="NoSpacing"/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</w:pP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5.</w:t>
      </w:r>
      <w:r w:rsidR="00463F58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 xml:space="preserve"> Контрола поступања са неопасним отпадом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</w:r>
      <w:r w:rsidR="00463F58">
        <w:rPr>
          <w:rFonts w:ascii="Times New Roman" w:hAnsi="Times New Roman"/>
          <w:sz w:val="28"/>
          <w:szCs w:val="28"/>
          <w:lang w:val="sr-Cyrl-CS"/>
        </w:rPr>
        <w:t>6</w:t>
      </w:r>
      <w:r w:rsidR="00CE18A2" w:rsidRPr="00CE18A2">
        <w:rPr>
          <w:rFonts w:ascii="Times New Roman" w:hAnsi="Times New Roman"/>
          <w:sz w:val="28"/>
          <w:szCs w:val="28"/>
          <w:lang w:val="sr-Cyrl-CS"/>
        </w:rPr>
        <w:t xml:space="preserve">. Надзор над активностима </w:t>
      </w:r>
      <w:r w:rsidR="006B2859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463F58">
        <w:rPr>
          <w:rFonts w:ascii="Times New Roman" w:hAnsi="Times New Roman"/>
          <w:sz w:val="28"/>
          <w:szCs w:val="28"/>
          <w:lang w:val="sr-Cyrl-CS"/>
        </w:rPr>
        <w:t>сакупљања, привременог складиштења и транспорта  инертног</w:t>
      </w:r>
      <w:r w:rsidR="00CE18A2" w:rsidRPr="00CE18A2">
        <w:rPr>
          <w:rFonts w:ascii="Times New Roman" w:hAnsi="Times New Roman"/>
          <w:sz w:val="28"/>
          <w:szCs w:val="28"/>
        </w:rPr>
        <w:t> </w:t>
      </w:r>
      <w:r w:rsidR="00463F58">
        <w:rPr>
          <w:rFonts w:ascii="Times New Roman" w:hAnsi="Times New Roman"/>
          <w:sz w:val="28"/>
          <w:szCs w:val="28"/>
          <w:lang w:val="sr-Cyrl-CS"/>
        </w:rPr>
        <w:t>и неопасног отпада</w:t>
      </w:r>
      <w:r w:rsidR="00CE18A2" w:rsidRPr="00CE18A2">
        <w:rPr>
          <w:rFonts w:ascii="Times New Roman" w:hAnsi="Times New Roman"/>
          <w:sz w:val="28"/>
          <w:szCs w:val="28"/>
          <w:lang w:val="sr-Cyrl-CS"/>
        </w:rPr>
        <w:t xml:space="preserve"> на локацији власника отпада за које надлежни орган општине Баточина</w:t>
      </w:r>
      <w:r w:rsidR="00CE18A2" w:rsidRPr="00CE18A2">
        <w:rPr>
          <w:rFonts w:ascii="Times New Roman" w:hAnsi="Times New Roman"/>
          <w:sz w:val="28"/>
          <w:szCs w:val="28"/>
        </w:rPr>
        <w:t> </w:t>
      </w:r>
      <w:r w:rsidR="00CE18A2" w:rsidRPr="00CE18A2">
        <w:rPr>
          <w:rFonts w:ascii="Times New Roman" w:hAnsi="Times New Roman"/>
          <w:sz w:val="28"/>
          <w:szCs w:val="28"/>
          <w:lang w:val="sr-Cyrl-CS"/>
        </w:rPr>
        <w:t xml:space="preserve"> издаје дозволу.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 </w:t>
      </w:r>
      <w:r w:rsidR="00463F58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  <w:t>7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. Заштита од нејонизујућег зрачења у објектима за које одобрење за изградњу и почетак рада даје надлежни орган општине Баточина.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</w:t>
      </w:r>
      <w:r w:rsidR="006B2859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</w:r>
      <w:r w:rsidR="00463F58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8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 xml:space="preserve">. Спровођење мера непосредне заштите, очувања и коришћења заштићених природних добара на заштићеним подручјима који су актом </w:t>
      </w:r>
      <w:r w:rsidR="00463F58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општине Баточина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 xml:space="preserve"> проглашени заштићеним подручјима.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</w:t>
      </w:r>
      <w:r w:rsidR="00463F58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  <w:t>9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. Вођење посебних евиденција у складу са законом, као и други послови инспекцијског надзора у области заштите животне средине.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</w:t>
      </w:r>
      <w:r w:rsidR="00463F58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  <w:t>10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. Вођење управног и извршног поступка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</w:r>
      <w:r w:rsidR="00BB5A96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11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. Доношење управних аката и обављање управних радњи у поступку инспекцијског надзора у обасти заштите животне средине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</w:t>
      </w:r>
      <w:r w:rsidR="00BB5A96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br/>
        <w:t>12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. Подношење захтева за покретање прекршајног поступка</w:t>
      </w:r>
      <w:r w:rsidR="00BB5A96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, подношење пријаве за покретање поступка за привредни преступ и подношење кривичне пријаве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;</w:t>
      </w:r>
    </w:p>
    <w:p w:rsidR="00CE18A2" w:rsidRDefault="006B2859" w:rsidP="00CE18A2">
      <w:pPr>
        <w:pStyle w:val="NoSpacing"/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</w:pP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1</w:t>
      </w:r>
      <w:r w:rsidR="00BB5A96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3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. Припремање извештаја и информација о извршеном инспекцијском надзору</w:t>
      </w:r>
      <w:r w:rsidR="00CE18A2" w:rsidRPr="00CE18A2">
        <w:rPr>
          <w:rStyle w:val="Emphasis"/>
          <w:rFonts w:ascii="Times New Roman" w:hAnsi="Times New Roman"/>
          <w:i w:val="0"/>
          <w:iCs w:val="0"/>
          <w:sz w:val="28"/>
          <w:szCs w:val="28"/>
        </w:rPr>
        <w:t> </w:t>
      </w:r>
    </w:p>
    <w:p w:rsidR="00BB5A96" w:rsidRPr="00BB5A96" w:rsidRDefault="00BB5A96" w:rsidP="00CE18A2">
      <w:pPr>
        <w:pStyle w:val="NoSpacing"/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</w:pPr>
      <w:r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  <w:t>14. Припрема информације за државне органе и медије</w:t>
      </w:r>
    </w:p>
    <w:p w:rsidR="00CE18A2" w:rsidRDefault="00CE18A2" w:rsidP="00CE18A2">
      <w:pPr>
        <w:pStyle w:val="NoSpacing"/>
        <w:rPr>
          <w:rStyle w:val="Emphasis"/>
          <w:i w:val="0"/>
          <w:iCs w:val="0"/>
          <w:lang w:val="sr-Cyrl-CS"/>
        </w:rPr>
      </w:pPr>
    </w:p>
    <w:p w:rsidR="00CE18A2" w:rsidRPr="00C7635D" w:rsidRDefault="00CE18A2" w:rsidP="00CE18A2">
      <w:pPr>
        <w:pStyle w:val="NoSpacing"/>
        <w:rPr>
          <w:rStyle w:val="Emphasis"/>
          <w:rFonts w:ascii="Times New Roman" w:hAnsi="Times New Roman"/>
          <w:i w:val="0"/>
          <w:iCs w:val="0"/>
          <w:sz w:val="28"/>
          <w:szCs w:val="28"/>
          <w:lang w:val="sr-Cyrl-CS"/>
        </w:rPr>
      </w:pPr>
      <w:r w:rsidRPr="00C7635D">
        <w:rPr>
          <w:rStyle w:val="Emphasis"/>
          <w:rFonts w:ascii="Times New Roman" w:hAnsi="Times New Roman"/>
          <w:b/>
          <w:i w:val="0"/>
          <w:iCs w:val="0"/>
          <w:sz w:val="28"/>
          <w:szCs w:val="28"/>
          <w:lang w:val="sr-Cyrl-CS"/>
        </w:rPr>
        <w:t>ПРОПИСИ ПО КОЈИМА ПОСТУПА ИНСПЕКЦИЈА ЗА ЗАШТИТУ ЖИВОТНЕ СРЕДИНЕ</w:t>
      </w:r>
    </w:p>
    <w:p w:rsidR="00CE18A2" w:rsidRPr="008D2550" w:rsidRDefault="00CE18A2" w:rsidP="00CE18A2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426" w:firstLine="0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Закон о заштити животне средине („Сл. гласник РС”, бр. 135/2004, 36/2009,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br/>
        <w:t>36/2009 - др. закон, 72/2009 - др. закон, 43/2011 - одлука УС и 14/2016).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2. Закон о интегрисаном спречавању и контроли загађивања животне средине („Сл. гласник РС”, бр. 135/2004 и 25/2015).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3. Закон о процени утицаја на животну средину(„Сл. гласник РС”, бр. 135/2004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br/>
        <w:t>и 36/2009).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4. Закон о заштити ваздуха („Сл. гласник РС”, бр. 36/2009 и 10/2013).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5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5. Закон о заштити од буке у животној средини („Сл. гласник РС”, бр. 36/2009 и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br/>
        <w:t>88/2010).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5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6. Закон о управљању отпадом („Сл. гласник РС”, бр. 36/2009, 88/2010 и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br/>
        <w:t>14/2016).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5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7. Закон о заштити од нејонизујућег зрачења („Сл. гласник РС”, бр. 36/2009).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5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>8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. Закон о хемикалијама („Сл. гласник РС”, бр. 36/2009, 88/2010, 92/2011,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br/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lastRenderedPageBreak/>
        <w:t>93/2012 и 25/2015).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5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>9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. Закон о заштити природе („Сл. гласник РС”, бр. 36/2009, 88/2010, 91/2010-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br/>
        <w:t>испр. и 14/2016).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5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1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>0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. Закон о инспекцијском надзору („Сл. гласник РС”, бр. 36/2015).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5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1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>1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. Закон о општем управном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 xml:space="preserve">поступку ( „Сл. гл. РС”, бр. 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>18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/201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>6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5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1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>2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. Закон о прекршајима („Сл. гласник РС”,65/2013 и 13/2016).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5"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1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</w:rPr>
        <w:t>3</w:t>
      </w: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. Закон о јавном реду и миру („Сл. гласник РС”, 6/2016).</w:t>
      </w:r>
    </w:p>
    <w:p w:rsidR="00CE18A2" w:rsidRPr="00BB5A96" w:rsidRDefault="00BB5A96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Style w:val="Emphasis"/>
          <w:rFonts w:ascii="Times New Roman" w:hAnsi="Times New Roman" w:cs="Times New Roman"/>
          <w:i w:val="0"/>
          <w:lang w:val="sr-Cyrl-CS"/>
        </w:rPr>
      </w:pPr>
      <w:r>
        <w:rPr>
          <w:rStyle w:val="Emphasis"/>
          <w:rFonts w:ascii="Times New Roman" w:hAnsi="Times New Roman" w:cs="Times New Roman"/>
          <w:i w:val="0"/>
          <w:lang w:val="sr-Cyrl-CS"/>
        </w:rPr>
        <w:t xml:space="preserve"> </w:t>
      </w:r>
    </w:p>
    <w:p w:rsidR="00CE18A2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Style w:val="Emphasis"/>
          <w:rFonts w:ascii="Times New Roman" w:hAnsi="Times New Roman" w:cs="Times New Roman"/>
          <w:b/>
          <w:i w:val="0"/>
          <w:sz w:val="28"/>
          <w:szCs w:val="28"/>
        </w:rPr>
      </w:pPr>
      <w:r w:rsidRPr="008D2550">
        <w:rPr>
          <w:rStyle w:val="Emphasis"/>
          <w:rFonts w:ascii="Times New Roman" w:hAnsi="Times New Roman" w:cs="Times New Roman"/>
          <w:b/>
          <w:i w:val="0"/>
          <w:sz w:val="28"/>
          <w:szCs w:val="28"/>
          <w:lang w:val="sr-Cyrl-CS"/>
        </w:rPr>
        <w:t>Општинске одлуке:</w:t>
      </w:r>
    </w:p>
    <w:p w:rsidR="005B67A5" w:rsidRPr="005B67A5" w:rsidRDefault="005B67A5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Style w:val="Emphasis"/>
          <w:rFonts w:ascii="Times New Roman" w:hAnsi="Times New Roman" w:cs="Times New Roman"/>
          <w:i w:val="0"/>
          <w:sz w:val="28"/>
          <w:szCs w:val="28"/>
        </w:rPr>
      </w:pP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1.Одлука о усвајању локалног плана управљања отпадом општине Баточина за период 2010-2019.година („Служ.гласник општине Баточина“, број: 7/10)</w:t>
      </w:r>
      <w:r w:rsidR="004141C0" w:rsidRPr="004141C0">
        <w:t xml:space="preserve"> </w:t>
      </w:r>
      <w:r w:rsidR="00382709">
        <w:t>–</w:t>
      </w:r>
      <w:r w:rsidR="004141C0" w:rsidRPr="004141C0">
        <w:rPr>
          <w:rFonts w:ascii="Times New Roman" w:hAnsi="Times New Roman" w:cs="Times New Roman"/>
          <w:sz w:val="28"/>
          <w:szCs w:val="28"/>
        </w:rPr>
        <w:t>У</w:t>
      </w:r>
      <w:r w:rsidR="00382709">
        <w:rPr>
          <w:rFonts w:ascii="Times New Roman" w:hAnsi="Times New Roman" w:cs="Times New Roman"/>
          <w:sz w:val="28"/>
          <w:szCs w:val="28"/>
          <w:lang w:val="sr-Cyrl-CS"/>
        </w:rPr>
        <w:t>рађена је радна верзија</w:t>
      </w:r>
      <w:r w:rsidR="004141C0" w:rsidRPr="004141C0">
        <w:rPr>
          <w:rFonts w:ascii="Times New Roman" w:hAnsi="Times New Roman" w:cs="Times New Roman"/>
          <w:sz w:val="28"/>
          <w:szCs w:val="28"/>
        </w:rPr>
        <w:t xml:space="preserve"> </w:t>
      </w:r>
      <w:r w:rsidR="00EC65BE">
        <w:rPr>
          <w:rFonts w:ascii="Times New Roman" w:hAnsi="Times New Roman" w:cs="Times New Roman"/>
          <w:sz w:val="28"/>
          <w:szCs w:val="28"/>
          <w:lang w:val="sr-Cyrl-CS"/>
        </w:rPr>
        <w:t xml:space="preserve">новог </w:t>
      </w:r>
      <w:r w:rsidR="00382709">
        <w:rPr>
          <w:rFonts w:ascii="Times New Roman" w:hAnsi="Times New Roman" w:cs="Times New Roman"/>
          <w:sz w:val="28"/>
          <w:szCs w:val="28"/>
        </w:rPr>
        <w:t>Локалн</w:t>
      </w:r>
      <w:r w:rsidR="00382709">
        <w:rPr>
          <w:rFonts w:ascii="Times New Roman" w:hAnsi="Times New Roman" w:cs="Times New Roman"/>
          <w:sz w:val="28"/>
          <w:szCs w:val="28"/>
          <w:lang w:val="sr-Cyrl-CS"/>
        </w:rPr>
        <w:t>ог</w:t>
      </w:r>
      <w:r w:rsidR="003827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382709">
        <w:rPr>
          <w:rFonts w:ascii="Times New Roman" w:hAnsi="Times New Roman" w:cs="Times New Roman"/>
          <w:sz w:val="28"/>
          <w:szCs w:val="28"/>
          <w:lang w:val="sr-Cyrl-CS"/>
        </w:rPr>
        <w:t>а</w:t>
      </w:r>
      <w:r w:rsidR="00382709" w:rsidRPr="004141C0">
        <w:rPr>
          <w:rFonts w:ascii="Times New Roman" w:hAnsi="Times New Roman" w:cs="Times New Roman"/>
          <w:sz w:val="28"/>
          <w:szCs w:val="28"/>
        </w:rPr>
        <w:t xml:space="preserve"> управљања отпадом</w:t>
      </w:r>
      <w:r w:rsidR="00382709">
        <w:rPr>
          <w:rFonts w:ascii="Times New Roman" w:hAnsi="Times New Roman" w:cs="Times New Roman"/>
          <w:sz w:val="28"/>
          <w:szCs w:val="28"/>
          <w:lang w:val="sr-Cyrl-CS"/>
        </w:rPr>
        <w:t xml:space="preserve">, </w:t>
      </w:r>
      <w:r w:rsidR="00931BA6">
        <w:rPr>
          <w:rFonts w:ascii="Times New Roman" w:hAnsi="Times New Roman" w:cs="Times New Roman"/>
          <w:sz w:val="28"/>
          <w:szCs w:val="28"/>
          <w:lang w:val="sr-Cyrl-CS"/>
        </w:rPr>
        <w:t>проистекл</w:t>
      </w:r>
      <w:r w:rsidR="00EC65BE">
        <w:rPr>
          <w:rFonts w:ascii="Times New Roman" w:hAnsi="Times New Roman" w:cs="Times New Roman"/>
          <w:sz w:val="28"/>
          <w:szCs w:val="28"/>
          <w:lang w:val="sr-Cyrl-CS"/>
        </w:rPr>
        <w:t>ог</w:t>
      </w:r>
      <w:r w:rsidR="00931BA6">
        <w:rPr>
          <w:rFonts w:ascii="Times New Roman" w:hAnsi="Times New Roman" w:cs="Times New Roman"/>
          <w:sz w:val="28"/>
          <w:szCs w:val="28"/>
          <w:lang w:val="sr-Cyrl-CS"/>
        </w:rPr>
        <w:t xml:space="preserve"> из Регионалног плана управљања отпадом</w:t>
      </w:r>
      <w:r w:rsidR="00AD6D01">
        <w:rPr>
          <w:rFonts w:ascii="Times New Roman" w:hAnsi="Times New Roman" w:cs="Times New Roman"/>
          <w:sz w:val="28"/>
          <w:szCs w:val="28"/>
          <w:lang w:val="sr-Cyrl-CS"/>
        </w:rPr>
        <w:t>,</w:t>
      </w:r>
      <w:r w:rsidR="00382709" w:rsidRPr="004141C0">
        <w:rPr>
          <w:rFonts w:ascii="Times New Roman" w:hAnsi="Times New Roman" w:cs="Times New Roman"/>
          <w:sz w:val="28"/>
          <w:szCs w:val="28"/>
        </w:rPr>
        <w:t xml:space="preserve"> </w:t>
      </w:r>
      <w:r w:rsidR="00E02526">
        <w:rPr>
          <w:rFonts w:ascii="Times New Roman" w:hAnsi="Times New Roman" w:cs="Times New Roman"/>
          <w:sz w:val="28"/>
          <w:szCs w:val="28"/>
        </w:rPr>
        <w:t xml:space="preserve"> </w:t>
      </w:r>
      <w:r w:rsidR="0099294A">
        <w:rPr>
          <w:rFonts w:ascii="Times New Roman" w:hAnsi="Times New Roman" w:cs="Times New Roman"/>
          <w:sz w:val="28"/>
          <w:szCs w:val="28"/>
          <w:lang w:val="sr-Cyrl-CS"/>
        </w:rPr>
        <w:t>још је</w:t>
      </w:r>
      <w:r w:rsidR="00931BA6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382709">
        <w:rPr>
          <w:rFonts w:ascii="Times New Roman" w:hAnsi="Times New Roman" w:cs="Times New Roman"/>
          <w:sz w:val="28"/>
          <w:szCs w:val="28"/>
          <w:lang w:val="sr-Cyrl-CS"/>
        </w:rPr>
        <w:t xml:space="preserve">у </w:t>
      </w:r>
      <w:r w:rsidR="004141C0" w:rsidRPr="004141C0">
        <w:rPr>
          <w:rFonts w:ascii="Times New Roman" w:hAnsi="Times New Roman" w:cs="Times New Roman"/>
          <w:sz w:val="28"/>
          <w:szCs w:val="28"/>
        </w:rPr>
        <w:t xml:space="preserve">току </w:t>
      </w:r>
      <w:r w:rsidR="0099294A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382709">
        <w:rPr>
          <w:rFonts w:ascii="Times New Roman" w:hAnsi="Times New Roman" w:cs="Times New Roman"/>
          <w:sz w:val="28"/>
          <w:szCs w:val="28"/>
          <w:lang w:val="sr-Cyrl-CS"/>
        </w:rPr>
        <w:t>усаглашавање</w:t>
      </w:r>
      <w:r w:rsidR="00931BA6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382709">
        <w:rPr>
          <w:rFonts w:ascii="Times New Roman" w:hAnsi="Times New Roman" w:cs="Times New Roman"/>
          <w:sz w:val="28"/>
          <w:szCs w:val="28"/>
          <w:lang w:val="sr-Cyrl-CS"/>
        </w:rPr>
        <w:t>и усвајање документа.</w:t>
      </w:r>
      <w:r w:rsidR="004141C0" w:rsidRPr="00414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8A2" w:rsidRPr="008D2550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2.Одлука о заштити споменика природе ''Рогот'' („Служ. гласник општине Баточина“,број:02/09).</w:t>
      </w:r>
    </w:p>
    <w:p w:rsidR="00CE18A2" w:rsidRDefault="00CE18A2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Style w:val="Emphasis"/>
          <w:rFonts w:ascii="Times New Roman" w:hAnsi="Times New Roman" w:cs="Times New Roman"/>
          <w:i w:val="0"/>
        </w:rPr>
      </w:pPr>
      <w:r w:rsidRPr="008D2550">
        <w:rPr>
          <w:rStyle w:val="Emphasis"/>
          <w:rFonts w:ascii="Times New Roman" w:hAnsi="Times New Roman" w:cs="Times New Roman"/>
          <w:i w:val="0"/>
          <w:sz w:val="28"/>
          <w:szCs w:val="28"/>
          <w:lang w:val="sr-Cyrl-CS"/>
        </w:rPr>
        <w:t>3.Одлука о мерама за заштиту од буке у животној средини (''Сл. гласник општине Баточина'', број 3/11</w:t>
      </w:r>
      <w:r w:rsidRPr="008D2550">
        <w:rPr>
          <w:rStyle w:val="Emphasis"/>
          <w:rFonts w:ascii="Times New Roman" w:hAnsi="Times New Roman" w:cs="Times New Roman"/>
          <w:i w:val="0"/>
          <w:lang w:val="sr-Cyrl-CS"/>
        </w:rPr>
        <w:t xml:space="preserve"> )</w:t>
      </w:r>
    </w:p>
    <w:p w:rsidR="00DF6309" w:rsidRPr="00DF6309" w:rsidRDefault="00DF6309" w:rsidP="00CE18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contextualSpacing/>
        <w:rPr>
          <w:rStyle w:val="Emphasis"/>
          <w:rFonts w:ascii="Times New Roman" w:hAnsi="Times New Roman" w:cs="Times New Roman"/>
          <w:i w:val="0"/>
        </w:rPr>
      </w:pPr>
    </w:p>
    <w:p w:rsidR="007951E6" w:rsidRDefault="007951E6" w:rsidP="007951E6">
      <w:pPr>
        <w:jc w:val="both"/>
        <w:rPr>
          <w:rFonts w:ascii="Times New Roman" w:eastAsia="Cambria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iCs/>
          <w:noProof/>
          <w:sz w:val="28"/>
          <w:szCs w:val="28"/>
          <w:lang w:val="sr-Cyrl-CS"/>
        </w:rPr>
        <w:tab/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>Закон о инспекцијском надзору („Службени гласник РС“ број 36/2015</w:t>
      </w:r>
      <w:r w:rsidR="00C068EC">
        <w:rPr>
          <w:rFonts w:ascii="Times New Roman" w:hAnsi="Times New Roman" w:cs="Times New Roman"/>
          <w:sz w:val="28"/>
          <w:szCs w:val="28"/>
          <w:lang w:val="sr-Cyrl-CS"/>
        </w:rPr>
        <w:t>, 44/18-др.закон и 95/18</w:t>
      </w:r>
      <w:r>
        <w:rPr>
          <w:rFonts w:ascii="Times New Roman" w:hAnsi="Times New Roman" w:cs="Times New Roman"/>
          <w:sz w:val="28"/>
          <w:szCs w:val="28"/>
          <w:lang w:val="sr-Cyrl-CS"/>
        </w:rPr>
        <w:t>), као начин за остваривање циља инспекцијског надзора, нагласак став</w:t>
      </w:r>
      <w:r w:rsidR="00424D65">
        <w:rPr>
          <w:rFonts w:ascii="Times New Roman" w:hAnsi="Times New Roman" w:cs="Times New Roman"/>
          <w:sz w:val="28"/>
          <w:szCs w:val="28"/>
          <w:lang w:val="sr-Cyrl-CS"/>
        </w:rPr>
        <w:t>ља на превентивним  мерама</w:t>
      </w:r>
      <w:r>
        <w:rPr>
          <w:rFonts w:ascii="Times New Roman" w:hAnsi="Times New Roman" w:cs="Times New Roman"/>
          <w:sz w:val="28"/>
          <w:szCs w:val="28"/>
          <w:lang w:val="sr-Cyrl-CS"/>
        </w:rPr>
        <w:t>.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</w:p>
    <w:p w:rsidR="00D7581F" w:rsidRPr="00D7581F" w:rsidRDefault="007951E6" w:rsidP="00D7581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D515E3">
        <w:rPr>
          <w:rFonts w:ascii="Times New Roman" w:eastAsia="Cambria" w:hAnsi="Times New Roman" w:cs="Times New Roman"/>
          <w:b/>
          <w:sz w:val="28"/>
          <w:szCs w:val="28"/>
          <w:lang w:val="sr-Cyrl-CS"/>
        </w:rPr>
        <w:t>Број спречених или битно умањених вероватних настанака штетних после</w:t>
      </w:r>
      <w:r w:rsidR="00997F2B">
        <w:rPr>
          <w:rFonts w:ascii="Times New Roman" w:eastAsia="Cambria" w:hAnsi="Times New Roman" w:cs="Times New Roman"/>
          <w:b/>
          <w:sz w:val="28"/>
          <w:szCs w:val="28"/>
          <w:lang w:val="sr-Cyrl-CS"/>
        </w:rPr>
        <w:t>дица по законом заштићена добра</w:t>
      </w:r>
      <w:r w:rsidRPr="00D515E3">
        <w:rPr>
          <w:rFonts w:ascii="Times New Roman" w:eastAsia="Cambria" w:hAnsi="Times New Roman" w:cs="Times New Roman"/>
          <w:b/>
          <w:sz w:val="28"/>
          <w:szCs w:val="28"/>
          <w:lang w:val="sr-Cyrl-CS"/>
        </w:rPr>
        <w:t>, права и интересе ( превентивно деловање инспекције )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 w:rsidR="00845B1B">
        <w:rPr>
          <w:rFonts w:ascii="Times New Roman" w:eastAsia="Cambria" w:hAnsi="Times New Roman" w:cs="Times New Roman"/>
          <w:sz w:val="28"/>
          <w:szCs w:val="28"/>
          <w:lang w:val="sr-Cyrl-CS"/>
        </w:rPr>
        <w:t>– Превентивно деловање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инспектор</w:t>
      </w:r>
      <w:r w:rsidR="00310276">
        <w:rPr>
          <w:rFonts w:ascii="Times New Roman" w:eastAsia="Cambria" w:hAnsi="Times New Roman" w:cs="Times New Roman"/>
          <w:sz w:val="28"/>
          <w:szCs w:val="28"/>
          <w:lang w:val="sr-Cyrl-CS"/>
        </w:rPr>
        <w:t>а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за заштиту животне средине</w:t>
      </w:r>
      <w:r w:rsidR="00845B1B">
        <w:rPr>
          <w:rFonts w:ascii="Times New Roman" w:eastAsia="Cambria" w:hAnsi="Times New Roman" w:cs="Times New Roman"/>
          <w:sz w:val="28"/>
          <w:szCs w:val="28"/>
          <w:lang w:val="sr-Cyrl-CS"/>
        </w:rPr>
        <w:t>,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 w:rsidR="00845B1B">
        <w:rPr>
          <w:rFonts w:ascii="Times New Roman" w:eastAsia="Cambria" w:hAnsi="Times New Roman" w:cs="Times New Roman"/>
          <w:sz w:val="28"/>
          <w:szCs w:val="28"/>
          <w:lang w:val="sr-Cyrl-CS"/>
        </w:rPr>
        <w:t>када је у питању заштићено добро, огледа се у доброј сарадњи са управљачем ПД ''Рогот'' – ''Србијашуме''</w:t>
      </w:r>
      <w:r w:rsidR="00D169FE">
        <w:rPr>
          <w:rFonts w:ascii="Times New Roman" w:eastAsia="Cambria" w:hAnsi="Times New Roman" w:cs="Times New Roman"/>
          <w:sz w:val="28"/>
          <w:szCs w:val="28"/>
        </w:rPr>
        <w:t>,</w:t>
      </w:r>
      <w:r w:rsidR="00845B1B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ШГ ''Крагујевац''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. </w:t>
      </w:r>
      <w:r w:rsidR="00BB5A96">
        <w:rPr>
          <w:rFonts w:ascii="Times New Roman" w:eastAsia="Cambria" w:hAnsi="Times New Roman" w:cs="Times New Roman"/>
          <w:sz w:val="28"/>
          <w:szCs w:val="28"/>
          <w:lang w:val="sr-Cyrl-CS"/>
        </w:rPr>
        <w:t>Превентивно деловање се огледало и у 3</w:t>
      </w:r>
      <w:r w:rsidR="00D7581F">
        <w:rPr>
          <w:rFonts w:ascii="Times New Roman" w:eastAsia="Cambria" w:hAnsi="Times New Roman" w:cs="Times New Roman"/>
          <w:sz w:val="28"/>
          <w:szCs w:val="28"/>
          <w:lang w:val="sr-Cyrl-CS"/>
        </w:rPr>
        <w:t>2</w:t>
      </w:r>
      <w:r w:rsidR="00575F5D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инспекцијск</w:t>
      </w:r>
      <w:r w:rsidR="00D7581F">
        <w:rPr>
          <w:rFonts w:ascii="Times New Roman" w:eastAsia="Cambria" w:hAnsi="Times New Roman" w:cs="Times New Roman"/>
          <w:sz w:val="28"/>
          <w:szCs w:val="28"/>
          <w:lang w:val="sr-Cyrl-CS"/>
        </w:rPr>
        <w:t>а</w:t>
      </w:r>
      <w:r w:rsidR="00575F5D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надзор</w:t>
      </w:r>
      <w:r w:rsidR="00575F5D">
        <w:rPr>
          <w:rFonts w:ascii="Times New Roman" w:eastAsia="Cambria" w:hAnsi="Times New Roman" w:cs="Times New Roman"/>
          <w:sz w:val="28"/>
          <w:szCs w:val="28"/>
        </w:rPr>
        <w:t>a</w:t>
      </w:r>
      <w:r w:rsidR="00BB5A96">
        <w:rPr>
          <w:rFonts w:ascii="Times New Roman" w:eastAsia="Cambria" w:hAnsi="Times New Roman" w:cs="Times New Roman"/>
          <w:sz w:val="28"/>
          <w:szCs w:val="28"/>
          <w:lang w:val="sr-Cyrl-CS"/>
        </w:rPr>
        <w:t>, који су имали за циљ контролу поступања са  отпадом, затим емисију загађујућих материја, буку, нејонизујуће зрачење</w:t>
      </w:r>
      <w:r w:rsidR="00170440">
        <w:rPr>
          <w:rFonts w:ascii="Times New Roman" w:eastAsia="Cambria" w:hAnsi="Times New Roman" w:cs="Times New Roman"/>
          <w:sz w:val="28"/>
          <w:szCs w:val="28"/>
        </w:rPr>
        <w:t>,</w:t>
      </w:r>
      <w:r w:rsidR="00170440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заштиту природе</w:t>
      </w:r>
      <w:r w:rsidR="00A3092B">
        <w:rPr>
          <w:rFonts w:ascii="Times New Roman" w:eastAsia="Cambria" w:hAnsi="Times New Roman" w:cs="Times New Roman"/>
          <w:sz w:val="28"/>
          <w:szCs w:val="28"/>
          <w:lang w:val="sr-Cyrl-CS"/>
        </w:rPr>
        <w:t>, процену утицаја</w:t>
      </w:r>
      <w:r w:rsidR="00BB5A96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. </w:t>
      </w:r>
      <w:r w:rsidR="00DF0458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У </w:t>
      </w:r>
      <w:r w:rsidR="00D7581F">
        <w:rPr>
          <w:rFonts w:ascii="Times New Roman" w:eastAsia="Cambria" w:hAnsi="Times New Roman" w:cs="Times New Roman"/>
          <w:sz w:val="28"/>
          <w:szCs w:val="28"/>
          <w:lang w:val="sr-Cyrl-CS"/>
        </w:rPr>
        <w:t>8</w:t>
      </w:r>
      <w:r w:rsidR="00614D17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инспекцијских записника наложене су мере за отклањање неправилности. </w:t>
      </w:r>
      <w:r w:rsidR="003B3A81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Превентивно деловање инспекције огледало се у подстицању и подржавању законитости пословања надзираних субјеката. 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Осим тога инспектор је превентивно деловао </w:t>
      </w:r>
      <w:r w:rsidR="00614D17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са организацијама које су спроводиле поступак </w:t>
      </w:r>
      <w:r w:rsidR="00845B1B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сузбијања одр</w:t>
      </w:r>
      <w:r w:rsidR="00A3092B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аслих форми </w:t>
      </w:r>
      <w:r w:rsidR="00A3092B">
        <w:rPr>
          <w:rFonts w:ascii="Times New Roman" w:eastAsia="Cambria" w:hAnsi="Times New Roman" w:cs="Times New Roman"/>
          <w:sz w:val="28"/>
          <w:szCs w:val="28"/>
          <w:lang w:val="sr-Cyrl-CS"/>
        </w:rPr>
        <w:lastRenderedPageBreak/>
        <w:t>комараца из ваздуха</w:t>
      </w:r>
      <w:r w:rsidR="00845B1B">
        <w:rPr>
          <w:rFonts w:ascii="Times New Roman" w:eastAsia="Cambria" w:hAnsi="Times New Roman" w:cs="Times New Roman"/>
          <w:sz w:val="28"/>
          <w:szCs w:val="28"/>
          <w:lang w:val="sr-Cyrl-CS"/>
        </w:rPr>
        <w:t>.</w:t>
      </w:r>
      <w:r w:rsidR="00A96309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Такође су све активности надзора, едукације и пружања оптималних савета врста превентивног деловања.</w:t>
      </w:r>
    </w:p>
    <w:p w:rsidR="007951E6" w:rsidRPr="00F57EA3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 xml:space="preserve">Обавештавање јавности, пружање </w:t>
      </w:r>
      <w:r w:rsidRPr="00D515E3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A03AB2">
        <w:rPr>
          <w:rFonts w:ascii="Times New Roman" w:eastAsia="Cambria" w:hAnsi="Times New Roman" w:cs="Times New Roman"/>
          <w:b/>
          <w:sz w:val="28"/>
          <w:szCs w:val="28"/>
        </w:rPr>
        <w:t>стручне и саветодавне  подршке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 w:rsidR="005B060F">
        <w:rPr>
          <w:rFonts w:ascii="Times New Roman" w:eastAsia="Cambria" w:hAnsi="Times New Roman" w:cs="Times New Roman"/>
          <w:sz w:val="28"/>
          <w:szCs w:val="28"/>
        </w:rPr>
        <w:t xml:space="preserve">  </w:t>
      </w:r>
      <w:r w:rsidR="005B060F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Саветодавни разговори са странкама су свакодневни део рада инспекције. </w:t>
      </w:r>
      <w:r w:rsidR="0079739E">
        <w:rPr>
          <w:rFonts w:ascii="Times New Roman" w:eastAsia="Cambria" w:hAnsi="Times New Roman" w:cs="Times New Roman"/>
          <w:sz w:val="28"/>
          <w:szCs w:val="28"/>
          <w:lang w:val="sr-Cyrl-CS"/>
        </w:rPr>
        <w:t>Пружање стручне и саветодавне подршке спроводи се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кроз вршење </w:t>
      </w:r>
      <w:r w:rsidRPr="00D515E3">
        <w:rPr>
          <w:rFonts w:ascii="Times New Roman" w:eastAsia="Cambria" w:hAnsi="Times New Roman" w:cs="Times New Roman"/>
          <w:sz w:val="28"/>
          <w:szCs w:val="28"/>
        </w:rPr>
        <w:t>службен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>их</w:t>
      </w:r>
      <w:r w:rsidRPr="00D515E3">
        <w:rPr>
          <w:rFonts w:ascii="Times New Roman" w:eastAsia="Cambria" w:hAnsi="Times New Roman" w:cs="Times New Roman"/>
          <w:sz w:val="28"/>
          <w:szCs w:val="28"/>
        </w:rPr>
        <w:t xml:space="preserve"> саветодавн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>их</w:t>
      </w:r>
      <w:r w:rsidRPr="00D515E3">
        <w:rPr>
          <w:rFonts w:ascii="Times New Roman" w:eastAsia="Cambria" w:hAnsi="Times New Roman" w:cs="Times New Roman"/>
          <w:sz w:val="28"/>
          <w:szCs w:val="28"/>
        </w:rPr>
        <w:t xml:space="preserve"> посет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>а,</w:t>
      </w:r>
      <w:r w:rsidR="00823BBE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које често буду или у оквиру инспекцијских надзора или усменим саопштењима,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указивање на могуће штетне последице, достављање дописа са препорукама, упозоравање о обавезама, налагање предузимања или уздржавања од одређених радњи.</w:t>
      </w:r>
      <w:r w:rsidR="005C325E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По захтеву надзираних субјекта није било стручних и саветодавних посета.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>У извештајном периоду инспектор је вршио обавештавање јавности путем интернета</w:t>
      </w:r>
      <w:r w:rsidR="00F119D4">
        <w:rPr>
          <w:rFonts w:ascii="Times New Roman" w:eastAsia="Cambria" w:hAnsi="Times New Roman" w:cs="Times New Roman"/>
          <w:sz w:val="28"/>
          <w:szCs w:val="28"/>
          <w:lang w:val="sr-Cyrl-CS"/>
        </w:rPr>
        <w:t>, огласних табли, објеката МЗ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. </w:t>
      </w:r>
      <w:r w:rsidR="00F119D4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  <w:lang w:val="sr-Cyrl-CS"/>
        </w:rPr>
        <w:t>И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нспекција је обављала и </w:t>
      </w:r>
      <w:r w:rsidRPr="00D515E3">
        <w:rPr>
          <w:rFonts w:ascii="Times New Roman" w:eastAsia="Cambria" w:hAnsi="Times New Roman" w:cs="Times New Roman"/>
          <w:sz w:val="28"/>
          <w:szCs w:val="28"/>
        </w:rPr>
        <w:t>друг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>е</w:t>
      </w:r>
      <w:r w:rsidRPr="00D515E3">
        <w:rPr>
          <w:rFonts w:ascii="Times New Roman" w:eastAsia="Cambria" w:hAnsi="Times New Roman" w:cs="Times New Roman"/>
          <w:sz w:val="28"/>
          <w:szCs w:val="28"/>
        </w:rPr>
        <w:t xml:space="preserve"> активности усмерен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>е</w:t>
      </w:r>
      <w:r w:rsidRPr="00D515E3">
        <w:rPr>
          <w:rFonts w:ascii="Times New Roman" w:eastAsia="Cambria" w:hAnsi="Times New Roman" w:cs="Times New Roman"/>
          <w:sz w:val="28"/>
          <w:szCs w:val="28"/>
        </w:rPr>
        <w:t xml:space="preserve"> ка подстицању, промоцији и подржавању законитости и безбедности пословања и поступања и спречавању настанка штетних последица по законом и другим прописом заш</w:t>
      </w:r>
      <w:r w:rsidR="00A96309">
        <w:rPr>
          <w:rFonts w:ascii="Times New Roman" w:eastAsia="Cambria" w:hAnsi="Times New Roman" w:cs="Times New Roman"/>
          <w:sz w:val="28"/>
          <w:szCs w:val="28"/>
        </w:rPr>
        <w:t>тићена добра, права и интересе</w:t>
      </w:r>
      <w:r w:rsidR="005C325E">
        <w:rPr>
          <w:rFonts w:ascii="Times New Roman" w:eastAsia="Cambria" w:hAnsi="Times New Roman" w:cs="Times New Roman"/>
          <w:sz w:val="28"/>
          <w:szCs w:val="28"/>
          <w:lang w:val="sr-Cyrl-CS"/>
        </w:rPr>
        <w:t>, као што је инструкција по основу потребних извештавања и прослеђивање образаца и законских и подзаконских аката</w:t>
      </w:r>
      <w:r w:rsidRPr="00D515E3">
        <w:rPr>
          <w:rFonts w:ascii="Times New Roman" w:eastAsia="Cambria" w:hAnsi="Times New Roman" w:cs="Times New Roman"/>
          <w:sz w:val="28"/>
          <w:szCs w:val="28"/>
          <w:lang w:val="sr-Cyrl-CS"/>
        </w:rPr>
        <w:t>.</w:t>
      </w:r>
      <w:r w:rsidRPr="00D515E3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746F41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 w:rsidR="001D3E36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</w:p>
    <w:p w:rsidR="007951E6" w:rsidRPr="006218AC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 xml:space="preserve">Ниво усклађености пословања и поступања надзираних субјеката са законом и другим прописима који се мери помоћу контролних листа. </w:t>
      </w:r>
      <w:r w:rsidRPr="006218AC">
        <w:rPr>
          <w:rFonts w:ascii="Times New Roman" w:eastAsia="Cambria" w:hAnsi="Times New Roman" w:cs="Times New Roman"/>
          <w:sz w:val="28"/>
          <w:szCs w:val="28"/>
        </w:rPr>
        <w:t>Преузете су контролне листе из области заштите животне средине са сајта Министарства за области које су поверене за рад локалних инспектора</w:t>
      </w:r>
      <w:r w:rsidR="00664EED">
        <w:rPr>
          <w:rFonts w:ascii="Times New Roman" w:eastAsia="Cambria" w:hAnsi="Times New Roman" w:cs="Times New Roman"/>
          <w:sz w:val="28"/>
          <w:szCs w:val="28"/>
        </w:rPr>
        <w:t xml:space="preserve"> и исте ажуриране у току године.</w:t>
      </w:r>
      <w:r w:rsidR="00664EED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Контрола у редовном инспекцијском надзору, према годишњ</w:t>
      </w:r>
      <w:r w:rsidR="00C92B22">
        <w:rPr>
          <w:rFonts w:ascii="Times New Roman" w:eastAsia="Cambria" w:hAnsi="Times New Roman" w:cs="Times New Roman"/>
          <w:sz w:val="28"/>
          <w:szCs w:val="28"/>
          <w:lang w:val="sr-Cyrl-CS"/>
        </w:rPr>
        <w:t>ем плану инспекцијског надзора</w:t>
      </w:r>
      <w:r w:rsidR="00664EED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спроведена је уз примену контролних листа</w:t>
      </w:r>
      <w:r w:rsidR="0087034C">
        <w:rPr>
          <w:rFonts w:ascii="Times New Roman" w:eastAsia="Cambria" w:hAnsi="Times New Roman" w:cs="Times New Roman"/>
          <w:sz w:val="28"/>
          <w:szCs w:val="28"/>
          <w:lang w:val="sr-Cyrl-CS"/>
        </w:rPr>
        <w:t>, па</w:t>
      </w:r>
      <w:r w:rsidR="00712F94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 w:rsidR="00677706">
        <w:rPr>
          <w:rFonts w:ascii="Times New Roman" w:eastAsia="Cambria" w:hAnsi="Times New Roman" w:cs="Times New Roman"/>
          <w:sz w:val="28"/>
          <w:szCs w:val="28"/>
          <w:lang w:val="sr-Cyrl-CS"/>
        </w:rPr>
        <w:t>су</w:t>
      </w:r>
      <w:r w:rsidR="0087034C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 w:rsidR="003B3A81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тако </w:t>
      </w:r>
      <w:r w:rsidR="00C92B22">
        <w:rPr>
          <w:rFonts w:ascii="Times New Roman" w:eastAsia="Cambria" w:hAnsi="Times New Roman" w:cs="Times New Roman"/>
          <w:sz w:val="28"/>
          <w:szCs w:val="28"/>
          <w:lang w:val="sr-Cyrl-CS"/>
        </w:rPr>
        <w:t>урађен</w:t>
      </w:r>
      <w:r w:rsidR="00677706">
        <w:rPr>
          <w:rFonts w:ascii="Times New Roman" w:eastAsia="Cambria" w:hAnsi="Times New Roman" w:cs="Times New Roman"/>
          <w:sz w:val="28"/>
          <w:szCs w:val="28"/>
          <w:lang w:val="sr-Cyrl-CS"/>
        </w:rPr>
        <w:t>е</w:t>
      </w:r>
      <w:r w:rsidR="00C92B22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и</w:t>
      </w:r>
      <w:r w:rsidR="00814522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 w:rsidR="00677706">
        <w:rPr>
          <w:rFonts w:ascii="Times New Roman" w:eastAsia="Cambria" w:hAnsi="Times New Roman" w:cs="Times New Roman"/>
          <w:sz w:val="28"/>
          <w:szCs w:val="28"/>
          <w:lang w:val="sr-Cyrl-CS"/>
        </w:rPr>
        <w:t>тридесет четири</w:t>
      </w:r>
      <w:r w:rsidR="00637D7A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(</w:t>
      </w:r>
      <w:r w:rsidR="00677706">
        <w:rPr>
          <w:rFonts w:ascii="Times New Roman" w:eastAsia="Cambria" w:hAnsi="Times New Roman" w:cs="Times New Roman"/>
          <w:sz w:val="28"/>
          <w:szCs w:val="28"/>
        </w:rPr>
        <w:t>34</w:t>
      </w:r>
      <w:r w:rsidR="00637D7A">
        <w:rPr>
          <w:rFonts w:ascii="Times New Roman" w:eastAsia="Cambria" w:hAnsi="Times New Roman" w:cs="Times New Roman"/>
          <w:sz w:val="28"/>
          <w:szCs w:val="28"/>
          <w:lang w:val="sr-Cyrl-CS"/>
        </w:rPr>
        <w:t>)</w:t>
      </w:r>
      <w:r w:rsidR="00814522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</w:t>
      </w:r>
      <w:r w:rsidR="00677706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контролне листе</w:t>
      </w:r>
      <w:r w:rsidR="00664EED">
        <w:rPr>
          <w:rFonts w:ascii="Times New Roman" w:eastAsia="Cambria" w:hAnsi="Times New Roman" w:cs="Times New Roman"/>
          <w:sz w:val="28"/>
          <w:szCs w:val="28"/>
          <w:lang w:val="sr-Cyrl-CS"/>
        </w:rPr>
        <w:t>, као саставни део записника о</w:t>
      </w:r>
      <w:r w:rsidR="001A6322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инспекцијском надзору, док су </w:t>
      </w:r>
      <w:r w:rsidR="00234649">
        <w:rPr>
          <w:rFonts w:ascii="Times New Roman" w:eastAsia="Cambria" w:hAnsi="Times New Roman" w:cs="Times New Roman"/>
          <w:sz w:val="28"/>
          <w:szCs w:val="28"/>
          <w:lang w:val="sr-Cyrl-CS"/>
        </w:rPr>
        <w:t>5</w:t>
      </w:r>
      <w:r w:rsidR="00664EED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 предмета окончана службеним белешкама.</w:t>
      </w:r>
      <w:r>
        <w:rPr>
          <w:rFonts w:ascii="Times New Roman" w:eastAsia="Cambria" w:hAnsi="Times New Roman" w:cs="Times New Roman"/>
          <w:sz w:val="28"/>
          <w:szCs w:val="28"/>
        </w:rPr>
        <w:t xml:space="preserve"> Испуњеност  услова према Закону о енергетици</w:t>
      </w:r>
      <w:r w:rsidR="00021965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, </w:t>
      </w:r>
      <w:r w:rsidR="00234649">
        <w:rPr>
          <w:rFonts w:ascii="Times New Roman" w:eastAsia="Cambria" w:hAnsi="Times New Roman" w:cs="Times New Roman"/>
          <w:sz w:val="28"/>
          <w:szCs w:val="28"/>
          <w:lang w:val="sr-Cyrl-CS"/>
        </w:rPr>
        <w:t>како није било поднетих захтева,</w:t>
      </w:r>
      <w:r w:rsidR="00234649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234649">
        <w:rPr>
          <w:rFonts w:ascii="Times New Roman" w:eastAsia="Cambria" w:hAnsi="Times New Roman" w:cs="Times New Roman"/>
          <w:sz w:val="28"/>
          <w:szCs w:val="28"/>
          <w:lang w:val="sr-Cyrl-CS"/>
        </w:rPr>
        <w:t xml:space="preserve">није </w:t>
      </w:r>
      <w:r w:rsidR="00234649">
        <w:rPr>
          <w:rFonts w:ascii="Times New Roman" w:eastAsia="Cambria" w:hAnsi="Times New Roman" w:cs="Times New Roman"/>
          <w:sz w:val="28"/>
          <w:szCs w:val="28"/>
        </w:rPr>
        <w:t>утврђиван</w:t>
      </w:r>
      <w:r>
        <w:rPr>
          <w:rFonts w:ascii="Times New Roman" w:eastAsia="Cambria" w:hAnsi="Times New Roman" w:cs="Times New Roman"/>
          <w:sz w:val="28"/>
          <w:szCs w:val="28"/>
        </w:rPr>
        <w:t>.</w:t>
      </w:r>
    </w:p>
    <w:p w:rsidR="007951E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Број откривених и отклоњених штетних последица( корективно деловање инспекције). </w:t>
      </w:r>
      <w:r w:rsidR="00E72134">
        <w:rPr>
          <w:rFonts w:ascii="Times New Roman" w:hAnsi="Times New Roman" w:cs="Times New Roman"/>
          <w:sz w:val="28"/>
          <w:szCs w:val="28"/>
          <w:lang w:val="sr-Cyrl-CS"/>
        </w:rPr>
        <w:t>У извештајном периоду није било потребе за изразитијим  корективним деловањем</w:t>
      </w:r>
      <w:r>
        <w:rPr>
          <w:rFonts w:ascii="Times New Roman" w:hAnsi="Times New Roman" w:cs="Times New Roman"/>
          <w:sz w:val="28"/>
          <w:szCs w:val="28"/>
          <w:lang w:val="sr-Cyrl-CS"/>
        </w:rPr>
        <w:t>.</w:t>
      </w:r>
      <w:r w:rsidR="00637D7A">
        <w:rPr>
          <w:rFonts w:ascii="Times New Roman" w:hAnsi="Times New Roman" w:cs="Times New Roman"/>
          <w:sz w:val="28"/>
          <w:szCs w:val="28"/>
          <w:lang w:val="sr-Cyrl-CS"/>
        </w:rPr>
        <w:t xml:space="preserve"> Налагање мера спроведеним инспекцијским надзором представља вид корективног деловања, што је спроведено </w:t>
      </w:r>
      <w:r w:rsidR="00473FEB">
        <w:rPr>
          <w:rFonts w:ascii="Times New Roman" w:hAnsi="Times New Roman" w:cs="Times New Roman"/>
          <w:sz w:val="28"/>
          <w:szCs w:val="28"/>
          <w:lang w:val="sr-Cyrl-CS"/>
        </w:rPr>
        <w:t xml:space="preserve">ради законитог управљања отпадом - </w:t>
      </w:r>
      <w:r w:rsidR="00637D7A">
        <w:rPr>
          <w:rFonts w:ascii="Times New Roman" w:hAnsi="Times New Roman" w:cs="Times New Roman"/>
          <w:sz w:val="28"/>
          <w:szCs w:val="28"/>
          <w:lang w:val="sr-Cyrl-CS"/>
        </w:rPr>
        <w:t xml:space="preserve">у </w:t>
      </w:r>
      <w:r w:rsidR="00DF0458">
        <w:rPr>
          <w:rFonts w:ascii="Times New Roman" w:hAnsi="Times New Roman" w:cs="Times New Roman"/>
          <w:sz w:val="28"/>
          <w:szCs w:val="28"/>
          <w:lang w:val="sr-Cyrl-CS"/>
        </w:rPr>
        <w:t>3</w:t>
      </w:r>
      <w:r w:rsidR="00637D7A">
        <w:rPr>
          <w:rFonts w:ascii="Times New Roman" w:hAnsi="Times New Roman" w:cs="Times New Roman"/>
          <w:sz w:val="28"/>
          <w:szCs w:val="28"/>
          <w:lang w:val="sr-Cyrl-CS"/>
        </w:rPr>
        <w:t xml:space="preserve"> предмета</w:t>
      </w:r>
      <w:r w:rsidR="00473FEB">
        <w:rPr>
          <w:rFonts w:ascii="Times New Roman" w:hAnsi="Times New Roman" w:cs="Times New Roman"/>
          <w:sz w:val="28"/>
          <w:szCs w:val="28"/>
          <w:lang w:val="sr-Cyrl-CS"/>
        </w:rPr>
        <w:t>, мерења емисије</w:t>
      </w:r>
      <w:r w:rsidR="00D75EC9">
        <w:rPr>
          <w:rFonts w:ascii="Times New Roman" w:hAnsi="Times New Roman" w:cs="Times New Roman"/>
          <w:sz w:val="28"/>
          <w:szCs w:val="28"/>
        </w:rPr>
        <w:t xml:space="preserve"> </w:t>
      </w:r>
      <w:r w:rsidR="00D75EC9">
        <w:rPr>
          <w:rFonts w:ascii="Times New Roman" w:hAnsi="Times New Roman" w:cs="Times New Roman"/>
          <w:sz w:val="28"/>
          <w:szCs w:val="28"/>
          <w:lang w:val="sr-Cyrl-CS"/>
        </w:rPr>
        <w:t>загађујућих материја у ваздух</w:t>
      </w:r>
      <w:r w:rsidR="00473FEB">
        <w:rPr>
          <w:rFonts w:ascii="Times New Roman" w:hAnsi="Times New Roman" w:cs="Times New Roman"/>
          <w:sz w:val="28"/>
          <w:szCs w:val="28"/>
          <w:lang w:val="sr-Cyrl-CS"/>
        </w:rPr>
        <w:t xml:space="preserve"> - у </w:t>
      </w:r>
      <w:r w:rsidR="00D75EC9">
        <w:rPr>
          <w:rFonts w:ascii="Times New Roman" w:hAnsi="Times New Roman" w:cs="Times New Roman"/>
          <w:sz w:val="28"/>
          <w:szCs w:val="28"/>
          <w:lang w:val="sr-Cyrl-CS"/>
        </w:rPr>
        <w:t>4</w:t>
      </w:r>
      <w:r w:rsidR="00473FEB">
        <w:rPr>
          <w:rFonts w:ascii="Times New Roman" w:hAnsi="Times New Roman" w:cs="Times New Roman"/>
          <w:sz w:val="28"/>
          <w:szCs w:val="28"/>
          <w:lang w:val="sr-Cyrl-CS"/>
        </w:rPr>
        <w:t xml:space="preserve"> предмета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, подношења захтева за одлучивање о потреби процене утицаја – у 1 предмету</w:t>
      </w:r>
      <w:r w:rsidR="002B0C8D">
        <w:rPr>
          <w:rFonts w:ascii="Times New Roman" w:hAnsi="Times New Roman" w:cs="Times New Roman"/>
          <w:sz w:val="28"/>
          <w:szCs w:val="28"/>
          <w:lang w:val="sr-Cyrl-CS"/>
        </w:rPr>
        <w:t xml:space="preserve"> и мерења нивоа 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lastRenderedPageBreak/>
        <w:t>нејонизујучих зрачења – у 1 предмету</w:t>
      </w:r>
      <w:r w:rsidR="00307DA0">
        <w:rPr>
          <w:rFonts w:ascii="Times New Roman" w:hAnsi="Times New Roman" w:cs="Times New Roman"/>
          <w:sz w:val="28"/>
          <w:szCs w:val="28"/>
          <w:lang w:val="sr-Cyrl-CS"/>
        </w:rPr>
        <w:t>.</w:t>
      </w:r>
      <w:r w:rsidR="000C7A81">
        <w:rPr>
          <w:rFonts w:ascii="Times New Roman" w:hAnsi="Times New Roman" w:cs="Times New Roman"/>
          <w:sz w:val="28"/>
          <w:szCs w:val="28"/>
          <w:lang w:val="sr-Cyrl-CS"/>
        </w:rPr>
        <w:t xml:space="preserve"> Нису изреч</w:t>
      </w:r>
      <w:r w:rsidR="005B0D47">
        <w:rPr>
          <w:rFonts w:ascii="Times New Roman" w:hAnsi="Times New Roman" w:cs="Times New Roman"/>
          <w:sz w:val="28"/>
          <w:szCs w:val="28"/>
          <w:lang w:val="sr-Cyrl-CS"/>
        </w:rPr>
        <w:t>ене примедбе на записник од стране надзираних субјеката.</w:t>
      </w:r>
    </w:p>
    <w:p w:rsidR="007951E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Број утврђених нерегистрованих субјеката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 </w:t>
      </w:r>
      <w:r w:rsidR="00C94BBE">
        <w:rPr>
          <w:rFonts w:ascii="Times New Roman" w:hAnsi="Times New Roman" w:cs="Times New Roman"/>
          <w:sz w:val="28"/>
          <w:szCs w:val="28"/>
          <w:lang w:val="sr-Cyrl-CS"/>
        </w:rPr>
        <w:t>Није било</w:t>
      </w:r>
      <w:r w:rsidR="00E27153">
        <w:rPr>
          <w:rFonts w:ascii="Times New Roman" w:hAnsi="Times New Roman" w:cs="Times New Roman"/>
          <w:sz w:val="28"/>
          <w:szCs w:val="28"/>
          <w:lang w:val="sr-Cyrl-CS"/>
        </w:rPr>
        <w:t xml:space="preserve"> случај</w:t>
      </w:r>
      <w:r w:rsidR="00C94BBE">
        <w:rPr>
          <w:rFonts w:ascii="Times New Roman" w:hAnsi="Times New Roman" w:cs="Times New Roman"/>
          <w:sz w:val="28"/>
          <w:szCs w:val="28"/>
          <w:lang w:val="sr-Cyrl-CS"/>
        </w:rPr>
        <w:t>ева</w:t>
      </w:r>
      <w:r w:rsidR="00E27153">
        <w:rPr>
          <w:rFonts w:ascii="Times New Roman" w:hAnsi="Times New Roman" w:cs="Times New Roman"/>
          <w:sz w:val="28"/>
          <w:szCs w:val="28"/>
          <w:lang w:val="sr-Cyrl-CS"/>
        </w:rPr>
        <w:t xml:space="preserve"> утврђеног нерегистрованог субјек</w:t>
      </w:r>
      <w:r w:rsidR="004D4A00">
        <w:rPr>
          <w:rFonts w:ascii="Times New Roman" w:hAnsi="Times New Roman" w:cs="Times New Roman"/>
          <w:sz w:val="28"/>
          <w:szCs w:val="28"/>
          <w:lang w:val="sr-Cyrl-CS"/>
        </w:rPr>
        <w:t>та</w:t>
      </w:r>
      <w:r w:rsidR="00021965">
        <w:rPr>
          <w:rFonts w:ascii="Times New Roman" w:hAnsi="Times New Roman" w:cs="Times New Roman"/>
          <w:sz w:val="28"/>
          <w:szCs w:val="28"/>
          <w:lang w:val="sr-Cyrl-CS"/>
        </w:rPr>
        <w:t xml:space="preserve">, по основу уписа у посебан регистар </w:t>
      </w:r>
      <w:r w:rsidR="00C94BBE">
        <w:rPr>
          <w:rFonts w:ascii="Times New Roman" w:hAnsi="Times New Roman" w:cs="Times New Roman"/>
          <w:sz w:val="28"/>
          <w:szCs w:val="28"/>
          <w:lang w:val="sr-Cyrl-CS"/>
        </w:rPr>
        <w:t xml:space="preserve"> или </w:t>
      </w:r>
      <w:r w:rsidR="00E27153">
        <w:rPr>
          <w:rFonts w:ascii="Times New Roman" w:hAnsi="Times New Roman" w:cs="Times New Roman"/>
          <w:sz w:val="28"/>
          <w:szCs w:val="28"/>
          <w:lang w:val="sr-Cyrl-CS"/>
        </w:rPr>
        <w:t xml:space="preserve"> уписа у регистар АПР-а</w:t>
      </w:r>
      <w:r>
        <w:rPr>
          <w:rFonts w:ascii="Times New Roman" w:hAnsi="Times New Roman" w:cs="Times New Roman"/>
          <w:sz w:val="28"/>
          <w:szCs w:val="28"/>
          <w:lang w:val="sr-Cyrl-CS"/>
        </w:rPr>
        <w:t>.</w:t>
      </w:r>
    </w:p>
    <w:p w:rsidR="007951E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Мере које су предузете ради уједначавања праксе инспекцијског надзора</w:t>
      </w:r>
      <w:r w:rsidRPr="00037D24">
        <w:rPr>
          <w:rFonts w:ascii="Times New Roman" w:hAnsi="Times New Roman" w:cs="Times New Roman"/>
          <w:sz w:val="28"/>
          <w:szCs w:val="28"/>
          <w:lang w:val="sr-Cyrl-CS"/>
        </w:rPr>
        <w:t>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– Редован инспекцијски надзор </w:t>
      </w:r>
      <w:r w:rsidR="004D3B0A">
        <w:rPr>
          <w:rFonts w:ascii="Times New Roman" w:hAnsi="Times New Roman" w:cs="Times New Roman"/>
          <w:sz w:val="28"/>
          <w:szCs w:val="28"/>
          <w:lang w:val="sr-Cyrl-CS"/>
        </w:rPr>
        <w:t>подразумева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примену идентичних контролних листи према свим контрол</w:t>
      </w:r>
      <w:r w:rsidR="004D3B0A">
        <w:rPr>
          <w:rFonts w:ascii="Times New Roman" w:hAnsi="Times New Roman" w:cs="Times New Roman"/>
          <w:sz w:val="28"/>
          <w:szCs w:val="28"/>
          <w:lang w:val="sr-Cyrl-CS"/>
        </w:rPr>
        <w:t>исаним субјектима/ оператерима, што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резултира уједначавањем  праксе  </w:t>
      </w:r>
      <w:r w:rsidR="00C8599D">
        <w:rPr>
          <w:rFonts w:ascii="Times New Roman" w:hAnsi="Times New Roman" w:cs="Times New Roman"/>
          <w:sz w:val="28"/>
          <w:szCs w:val="28"/>
          <w:lang w:val="sr-Cyrl-CS"/>
        </w:rPr>
        <w:t>и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нспекцијског надзора. </w:t>
      </w:r>
      <w:r w:rsidR="006648C1">
        <w:rPr>
          <w:rFonts w:ascii="Times New Roman" w:hAnsi="Times New Roman" w:cs="Times New Roman"/>
          <w:sz w:val="28"/>
          <w:szCs w:val="28"/>
          <w:lang w:val="sr-Cyrl-CS"/>
        </w:rPr>
        <w:t xml:space="preserve">Једнообразност је основ успешног рада. </w:t>
      </w:r>
      <w:r w:rsidR="004D3B0A">
        <w:rPr>
          <w:rFonts w:ascii="Times New Roman" w:hAnsi="Times New Roman" w:cs="Times New Roman"/>
          <w:sz w:val="28"/>
          <w:szCs w:val="28"/>
          <w:lang w:val="sr-Cyrl-CS"/>
        </w:rPr>
        <w:t>Уједначавању праксе доприноси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и сарадња са другим општин</w:t>
      </w:r>
      <w:r w:rsidR="004D3B0A">
        <w:rPr>
          <w:rFonts w:ascii="Times New Roman" w:hAnsi="Times New Roman" w:cs="Times New Roman"/>
          <w:sz w:val="28"/>
          <w:szCs w:val="28"/>
          <w:lang w:val="sr-Cyrl-CS"/>
        </w:rPr>
        <w:t xml:space="preserve">ским и републичким инспекторима, </w:t>
      </w:r>
      <w:r w:rsidR="00C8599D">
        <w:rPr>
          <w:rFonts w:ascii="Times New Roman" w:hAnsi="Times New Roman" w:cs="Times New Roman"/>
          <w:sz w:val="28"/>
          <w:szCs w:val="28"/>
          <w:lang w:val="sr-Cyrl-CS"/>
        </w:rPr>
        <w:t>затим поступање по Закону о инспекцијском надзору</w:t>
      </w:r>
      <w:r w:rsidR="00E27153">
        <w:rPr>
          <w:rFonts w:ascii="Times New Roman" w:hAnsi="Times New Roman" w:cs="Times New Roman"/>
          <w:sz w:val="28"/>
          <w:szCs w:val="28"/>
          <w:lang w:val="sr-Cyrl-CS"/>
        </w:rPr>
        <w:t>, уз коришћење свих смерница, препорука и инструкција</w:t>
      </w:r>
      <w:r w:rsidR="00C8599D">
        <w:rPr>
          <w:rFonts w:ascii="Times New Roman" w:hAnsi="Times New Roman" w:cs="Times New Roman"/>
          <w:sz w:val="28"/>
          <w:szCs w:val="28"/>
          <w:lang w:val="sr-Cyrl-C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sr-Cyrl-CS"/>
        </w:rPr>
        <w:t>као и примери рада на ст</w:t>
      </w:r>
      <w:r w:rsidR="00E14AD1">
        <w:rPr>
          <w:rFonts w:ascii="Times New Roman" w:hAnsi="Times New Roman" w:cs="Times New Roman"/>
          <w:sz w:val="28"/>
          <w:szCs w:val="28"/>
          <w:lang w:val="sr-Cyrl-CS"/>
        </w:rPr>
        <w:t>р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учним </w:t>
      </w:r>
      <w:r w:rsidR="00C23910">
        <w:rPr>
          <w:rFonts w:ascii="Times New Roman" w:hAnsi="Times New Roman" w:cs="Times New Roman"/>
          <w:sz w:val="28"/>
          <w:szCs w:val="28"/>
          <w:lang w:val="sr-Cyrl-CS"/>
        </w:rPr>
        <w:t>семинарима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којима је инспектор присуствовао у претходном периоду. </w:t>
      </w:r>
    </w:p>
    <w:p w:rsidR="0020381D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Остваривање плана и ваљаности планирања инспекцијског надзора, нарочито о односу редовних и ванредних инспекцијских надзора, броју редовних инспекцијских надзора који нису извршени и разлозима за то, као и о броју допунских налога за инспекцијски надзор </w:t>
      </w:r>
      <w:r w:rsidR="00785910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895DE4">
        <w:rPr>
          <w:rFonts w:ascii="Times New Roman" w:hAnsi="Times New Roman" w:cs="Times New Roman"/>
          <w:sz w:val="28"/>
          <w:szCs w:val="28"/>
          <w:lang w:val="sr-Cyrl-CS"/>
        </w:rPr>
        <w:t>Током 202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2</w:t>
      </w:r>
      <w:r w:rsidR="009A1C2E">
        <w:rPr>
          <w:rFonts w:ascii="Times New Roman" w:hAnsi="Times New Roman" w:cs="Times New Roman"/>
          <w:sz w:val="28"/>
          <w:szCs w:val="28"/>
          <w:lang w:val="sr-Cyrl-CS"/>
        </w:rPr>
        <w:t xml:space="preserve">. </w:t>
      </w:r>
      <w:r w:rsidR="003B6EBA">
        <w:rPr>
          <w:rFonts w:ascii="Times New Roman" w:hAnsi="Times New Roman" w:cs="Times New Roman"/>
          <w:sz w:val="28"/>
          <w:szCs w:val="28"/>
          <w:lang w:val="sr-Cyrl-CS"/>
        </w:rPr>
        <w:t>г</w:t>
      </w:r>
      <w:r w:rsidR="009A1C2E">
        <w:rPr>
          <w:rFonts w:ascii="Times New Roman" w:hAnsi="Times New Roman" w:cs="Times New Roman"/>
          <w:sz w:val="28"/>
          <w:szCs w:val="28"/>
          <w:lang w:val="sr-Cyrl-CS"/>
        </w:rPr>
        <w:t xml:space="preserve">одине </w:t>
      </w:r>
      <w:r w:rsidR="00A45A1E">
        <w:rPr>
          <w:rFonts w:ascii="Times New Roman" w:hAnsi="Times New Roman" w:cs="Times New Roman"/>
          <w:sz w:val="28"/>
          <w:szCs w:val="28"/>
          <w:lang w:val="sr-Cyrl-CS"/>
        </w:rPr>
        <w:t>инспекцијска поступања су спроведена уз примену</w:t>
      </w:r>
      <w:r w:rsidR="009A1C2E">
        <w:rPr>
          <w:rFonts w:ascii="Times New Roman" w:hAnsi="Times New Roman" w:cs="Times New Roman"/>
          <w:sz w:val="28"/>
          <w:szCs w:val="28"/>
          <w:lang w:val="sr-Cyrl-CS"/>
        </w:rPr>
        <w:t xml:space="preserve"> Закона и подзаконских аката, обилазак терена 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и ванредне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увиде и контроле</w:t>
      </w:r>
      <w:r w:rsidR="00290DA5">
        <w:rPr>
          <w:rFonts w:ascii="Times New Roman" w:hAnsi="Times New Roman" w:cs="Times New Roman"/>
          <w:sz w:val="28"/>
          <w:szCs w:val="28"/>
          <w:lang w:val="sr-Cyrl-CS"/>
        </w:rPr>
        <w:t>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20381D">
        <w:rPr>
          <w:rFonts w:ascii="Times New Roman" w:hAnsi="Times New Roman" w:cs="Times New Roman"/>
          <w:sz w:val="28"/>
          <w:szCs w:val="28"/>
          <w:lang w:val="sr-Cyrl-CS"/>
        </w:rPr>
        <w:t>Радни циљеви се огледају у изразитом превентивном деловању и исказивању законских обавеза, а све ради спречавања загађења животне средине и поштовања еколошких стандарда.</w:t>
      </w:r>
      <w:r w:rsidR="002333E7">
        <w:rPr>
          <w:rFonts w:ascii="Times New Roman" w:hAnsi="Times New Roman" w:cs="Times New Roman"/>
          <w:sz w:val="28"/>
          <w:szCs w:val="28"/>
          <w:lang w:val="sr-Cyrl-CS"/>
        </w:rPr>
        <w:t xml:space="preserve"> Радни циљеви се постижу и спроведеним инспекцијским надзорима, са свим аспектима и обухватношћу контрола. </w:t>
      </w:r>
    </w:p>
    <w:p w:rsidR="007951E6" w:rsidRDefault="00581408" w:rsidP="0020381D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По плану </w:t>
      </w:r>
      <w:r w:rsidR="009B3D41">
        <w:rPr>
          <w:rFonts w:ascii="Times New Roman" w:hAnsi="Times New Roman" w:cs="Times New Roman"/>
          <w:sz w:val="28"/>
          <w:szCs w:val="28"/>
          <w:lang w:val="sr-Cyrl-CS"/>
        </w:rPr>
        <w:t>инспекцијског надзора за 202</w:t>
      </w:r>
      <w:r w:rsidR="00712F94">
        <w:rPr>
          <w:rFonts w:ascii="Times New Roman" w:hAnsi="Times New Roman" w:cs="Times New Roman"/>
          <w:sz w:val="28"/>
          <w:szCs w:val="28"/>
        </w:rPr>
        <w:t>2</w:t>
      </w:r>
      <w:r w:rsidR="00CE284B">
        <w:rPr>
          <w:rFonts w:ascii="Times New Roman" w:hAnsi="Times New Roman" w:cs="Times New Roman"/>
          <w:sz w:val="28"/>
          <w:szCs w:val="28"/>
          <w:lang w:val="sr-Cyrl-CS"/>
        </w:rPr>
        <w:t>. г</w:t>
      </w:r>
      <w:r w:rsidR="00642940">
        <w:rPr>
          <w:rFonts w:ascii="Times New Roman" w:hAnsi="Times New Roman" w:cs="Times New Roman"/>
          <w:sz w:val="28"/>
          <w:szCs w:val="28"/>
          <w:lang w:val="sr-Cyrl-CS"/>
        </w:rPr>
        <w:t>одину предвиђен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а</w:t>
      </w:r>
      <w:r w:rsidR="00642940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су</w:t>
      </w:r>
      <w:r w:rsidR="00CE284B">
        <w:rPr>
          <w:rFonts w:ascii="Times New Roman" w:hAnsi="Times New Roman" w:cs="Times New Roman"/>
          <w:sz w:val="28"/>
          <w:szCs w:val="28"/>
          <w:lang w:val="sr-Cyrl-CS"/>
        </w:rPr>
        <w:t xml:space="preserve"> 3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3</w:t>
      </w:r>
      <w:r w:rsidR="009B3D41">
        <w:rPr>
          <w:rFonts w:ascii="Times New Roman" w:hAnsi="Times New Roman" w:cs="Times New Roman"/>
          <w:sz w:val="28"/>
          <w:szCs w:val="28"/>
          <w:lang w:val="sr-Cyrl-CS"/>
        </w:rPr>
        <w:t xml:space="preserve"> надзор</w:t>
      </w:r>
      <w:r w:rsidR="002B0C8D">
        <w:rPr>
          <w:rFonts w:ascii="Times New Roman" w:hAnsi="Times New Roman" w:cs="Times New Roman"/>
          <w:sz w:val="28"/>
          <w:szCs w:val="28"/>
          <w:lang w:val="sr-Cyrl-CS"/>
        </w:rPr>
        <w:t>а</w:t>
      </w:r>
      <w:r w:rsidR="00CE284B">
        <w:rPr>
          <w:rFonts w:ascii="Times New Roman" w:hAnsi="Times New Roman" w:cs="Times New Roman"/>
          <w:sz w:val="28"/>
          <w:szCs w:val="28"/>
          <w:lang w:val="sr-Cyrl-CS"/>
        </w:rPr>
        <w:t xml:space="preserve">, од чега само 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један</w:t>
      </w:r>
      <w:r w:rsidR="00B3765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CE284B">
        <w:rPr>
          <w:rFonts w:ascii="Times New Roman" w:hAnsi="Times New Roman" w:cs="Times New Roman"/>
          <w:sz w:val="28"/>
          <w:szCs w:val="28"/>
          <w:lang w:val="sr-Cyrl-CS"/>
        </w:rPr>
        <w:t>надзор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 xml:space="preserve"> није</w:t>
      </w:r>
      <w:r w:rsidR="00CE284B">
        <w:rPr>
          <w:rFonts w:ascii="Times New Roman" w:hAnsi="Times New Roman" w:cs="Times New Roman"/>
          <w:sz w:val="28"/>
          <w:szCs w:val="28"/>
          <w:lang w:val="sr-Cyrl-CS"/>
        </w:rPr>
        <w:t xml:space="preserve"> спроведен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,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B3765F">
        <w:rPr>
          <w:rFonts w:ascii="Times New Roman" w:hAnsi="Times New Roman" w:cs="Times New Roman"/>
          <w:sz w:val="28"/>
          <w:szCs w:val="28"/>
          <w:lang w:val="sr-Cyrl-CS"/>
        </w:rPr>
        <w:t xml:space="preserve">који је </w:t>
      </w:r>
      <w:r w:rsidR="00CE284B">
        <w:rPr>
          <w:rFonts w:ascii="Times New Roman" w:hAnsi="Times New Roman" w:cs="Times New Roman"/>
          <w:sz w:val="28"/>
          <w:szCs w:val="28"/>
          <w:lang w:val="sr-Cyrl-CS"/>
        </w:rPr>
        <w:t xml:space="preserve">изостао </w:t>
      </w:r>
      <w:r w:rsidR="00B3765F">
        <w:rPr>
          <w:rFonts w:ascii="Times New Roman" w:hAnsi="Times New Roman" w:cs="Times New Roman"/>
          <w:sz w:val="28"/>
          <w:szCs w:val="28"/>
          <w:lang w:val="sr-Cyrl-CS"/>
        </w:rPr>
        <w:t xml:space="preserve"> применом члана</w:t>
      </w:r>
      <w:r w:rsidR="00CE284B">
        <w:rPr>
          <w:rFonts w:ascii="Times New Roman" w:hAnsi="Times New Roman" w:cs="Times New Roman"/>
          <w:sz w:val="28"/>
          <w:szCs w:val="28"/>
          <w:lang w:val="sr-Cyrl-CS"/>
        </w:rPr>
        <w:t xml:space="preserve"> 40. Закона о општем управном поступку</w:t>
      </w:r>
      <w:r w:rsidR="00B3765F">
        <w:rPr>
          <w:rFonts w:ascii="Times New Roman" w:hAnsi="Times New Roman" w:cs="Times New Roman"/>
          <w:sz w:val="28"/>
          <w:szCs w:val="28"/>
          <w:lang w:val="sr-Cyrl-CS"/>
        </w:rPr>
        <w:t>, али је на усмено исказане законске обавезе</w:t>
      </w:r>
      <w:r w:rsidR="00EA7C1F">
        <w:rPr>
          <w:rFonts w:ascii="Times New Roman" w:hAnsi="Times New Roman" w:cs="Times New Roman"/>
          <w:sz w:val="28"/>
          <w:szCs w:val="28"/>
          <w:lang w:val="sr-Cyrl-CS"/>
        </w:rPr>
        <w:t xml:space="preserve"> у ранијем периоду </w:t>
      </w:r>
      <w:r w:rsidR="00B3765F">
        <w:rPr>
          <w:rFonts w:ascii="Times New Roman" w:hAnsi="Times New Roman" w:cs="Times New Roman"/>
          <w:sz w:val="28"/>
          <w:szCs w:val="28"/>
          <w:lang w:val="sr-Cyrl-CS"/>
        </w:rPr>
        <w:t>достављен Извештај о мерењу емисије загађујућих материја</w:t>
      </w:r>
      <w:r w:rsidR="00A24A85">
        <w:rPr>
          <w:rFonts w:ascii="Times New Roman" w:hAnsi="Times New Roman" w:cs="Times New Roman"/>
          <w:sz w:val="28"/>
          <w:szCs w:val="28"/>
          <w:lang w:val="sr-Cyrl-CS"/>
        </w:rPr>
        <w:t xml:space="preserve">. 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 xml:space="preserve">Извршено 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је укупно 3</w:t>
      </w:r>
      <w:r w:rsidR="00012865">
        <w:rPr>
          <w:rFonts w:ascii="Times New Roman" w:hAnsi="Times New Roman" w:cs="Times New Roman"/>
          <w:sz w:val="28"/>
          <w:szCs w:val="28"/>
          <w:lang w:val="sr-Cyrl-CS"/>
        </w:rPr>
        <w:t>2</w:t>
      </w:r>
      <w:r w:rsidR="007951E6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FF073C">
        <w:rPr>
          <w:rFonts w:ascii="Times New Roman" w:hAnsi="Times New Roman" w:cs="Times New Roman"/>
          <w:sz w:val="28"/>
          <w:szCs w:val="28"/>
          <w:lang w:val="sr-Cyrl-CS"/>
        </w:rPr>
        <w:t>редовних</w:t>
      </w:r>
      <w:r w:rsidR="001D68A1">
        <w:rPr>
          <w:rFonts w:ascii="Times New Roman" w:hAnsi="Times New Roman" w:cs="Times New Roman"/>
          <w:sz w:val="28"/>
          <w:szCs w:val="28"/>
        </w:rPr>
        <w:t xml:space="preserve"> </w:t>
      </w:r>
      <w:r w:rsidR="001D68A1">
        <w:rPr>
          <w:rFonts w:ascii="Times New Roman" w:hAnsi="Times New Roman" w:cs="Times New Roman"/>
          <w:sz w:val="28"/>
          <w:szCs w:val="28"/>
          <w:lang w:val="sr-Cyrl-CS"/>
        </w:rPr>
        <w:t>инспекцијских надзора</w:t>
      </w:r>
      <w:r w:rsidR="00FF073C">
        <w:rPr>
          <w:rFonts w:ascii="Times New Roman" w:hAnsi="Times New Roman" w:cs="Times New Roman"/>
          <w:sz w:val="28"/>
          <w:szCs w:val="28"/>
          <w:lang w:val="sr-Cyrl-CS"/>
        </w:rPr>
        <w:t>,</w:t>
      </w:r>
      <w:r w:rsidR="001D68A1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>од којих је један, по прослеђеним подацима</w:t>
      </w:r>
      <w:r w:rsidR="00012865">
        <w:rPr>
          <w:rFonts w:ascii="Times New Roman" w:hAnsi="Times New Roman" w:cs="Times New Roman"/>
          <w:sz w:val="28"/>
          <w:szCs w:val="28"/>
          <w:lang w:val="sr-Cyrl-CS"/>
        </w:rPr>
        <w:t>,</w:t>
      </w:r>
      <w:r w:rsidR="00B53286">
        <w:rPr>
          <w:rFonts w:ascii="Times New Roman" w:hAnsi="Times New Roman" w:cs="Times New Roman"/>
          <w:sz w:val="28"/>
          <w:szCs w:val="28"/>
          <w:lang w:val="sr-Cyrl-CS"/>
        </w:rPr>
        <w:t xml:space="preserve"> окончан службеном белешком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>.</w:t>
      </w:r>
      <w:r w:rsidR="00351350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012865">
        <w:rPr>
          <w:rFonts w:ascii="Times New Roman" w:hAnsi="Times New Roman" w:cs="Times New Roman"/>
          <w:sz w:val="28"/>
          <w:szCs w:val="28"/>
          <w:lang w:val="sr-Cyrl-CS"/>
        </w:rPr>
        <w:t xml:space="preserve">Ванредних инспекцијских надзора у 2022.години, није било. </w:t>
      </w:r>
      <w:r w:rsidR="00351350">
        <w:rPr>
          <w:rFonts w:ascii="Times New Roman" w:hAnsi="Times New Roman" w:cs="Times New Roman"/>
          <w:sz w:val="28"/>
          <w:szCs w:val="28"/>
          <w:lang w:val="sr-Cyrl-CS"/>
        </w:rPr>
        <w:t>Однос редовних и ванредних инспекцијских надзора је</w:t>
      </w:r>
      <w:r w:rsidR="00D74125">
        <w:rPr>
          <w:rFonts w:ascii="Times New Roman" w:hAnsi="Times New Roman" w:cs="Times New Roman"/>
          <w:sz w:val="28"/>
          <w:szCs w:val="28"/>
          <w:lang w:val="sr-Cyrl-CS"/>
        </w:rPr>
        <w:t>, у ранијим годинама, био</w:t>
      </w:r>
      <w:r w:rsidR="00012865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351350">
        <w:rPr>
          <w:rFonts w:ascii="Times New Roman" w:hAnsi="Times New Roman" w:cs="Times New Roman"/>
          <w:sz w:val="28"/>
          <w:szCs w:val="28"/>
          <w:lang w:val="sr-Cyrl-CS"/>
        </w:rPr>
        <w:t xml:space="preserve"> приближно </w:t>
      </w:r>
      <w:r w:rsidR="00D74754">
        <w:rPr>
          <w:rFonts w:ascii="Times New Roman" w:hAnsi="Times New Roman" w:cs="Times New Roman"/>
          <w:sz w:val="28"/>
          <w:szCs w:val="28"/>
          <w:lang w:val="sr-Cyrl-CS"/>
        </w:rPr>
        <w:t>90</w:t>
      </w:r>
      <w:r w:rsidR="00351350">
        <w:rPr>
          <w:rFonts w:ascii="Times New Roman" w:hAnsi="Times New Roman" w:cs="Times New Roman"/>
          <w:sz w:val="28"/>
          <w:szCs w:val="28"/>
          <w:lang w:val="sr-Cyrl-CS"/>
        </w:rPr>
        <w:t>% : 1</w:t>
      </w:r>
      <w:r w:rsidR="00D74754">
        <w:rPr>
          <w:rFonts w:ascii="Times New Roman" w:hAnsi="Times New Roman" w:cs="Times New Roman"/>
          <w:sz w:val="28"/>
          <w:szCs w:val="28"/>
          <w:lang w:val="sr-Cyrl-CS"/>
        </w:rPr>
        <w:t>0</w:t>
      </w:r>
      <w:r w:rsidR="00351350">
        <w:rPr>
          <w:rFonts w:ascii="Times New Roman" w:hAnsi="Times New Roman" w:cs="Times New Roman"/>
          <w:sz w:val="28"/>
          <w:szCs w:val="28"/>
          <w:lang w:val="sr-Cyrl-CS"/>
        </w:rPr>
        <w:t>%.</w:t>
      </w:r>
    </w:p>
    <w:p w:rsidR="00E95014" w:rsidRDefault="00E95014" w:rsidP="0020381D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>Постављени радни циљеви, који се односе на законито поступање надзираних субјеката, спровођење система праћења утицаја на животну средину, као и превентивно и едукативно деловање, су збирно гледано у потпуности испуњени, јер су и поред отежаних услова, сви спроводиви инспекцијски надзори извршени.</w:t>
      </w:r>
    </w:p>
    <w:p w:rsidR="008F40D3" w:rsidRDefault="008F40D3" w:rsidP="0020381D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8F40D3" w:rsidRPr="008F40D3" w:rsidRDefault="008F40D3" w:rsidP="0020381D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У наставку је табела –списак извршења радних циљева</w:t>
      </w:r>
    </w:p>
    <w:p w:rsidR="008F40D3" w:rsidRDefault="008F40D3" w:rsidP="0020381D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  <w:sectPr w:rsidR="008F40D3" w:rsidSect="0001777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077" w:right="1247" w:bottom="1134" w:left="1247" w:header="709" w:footer="709" w:gutter="0"/>
          <w:cols w:space="708"/>
          <w:docGrid w:linePitch="360"/>
        </w:sectPr>
      </w:pPr>
    </w:p>
    <w:p w:rsidR="008F40D3" w:rsidRPr="008F40D3" w:rsidRDefault="008F40D3" w:rsidP="0020381D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2948"/>
        <w:gridCol w:w="1587"/>
        <w:gridCol w:w="397"/>
        <w:gridCol w:w="397"/>
        <w:gridCol w:w="397"/>
        <w:gridCol w:w="397"/>
        <w:gridCol w:w="397"/>
        <w:gridCol w:w="397"/>
        <w:gridCol w:w="452"/>
        <w:gridCol w:w="508"/>
        <w:gridCol w:w="397"/>
        <w:gridCol w:w="397"/>
        <w:gridCol w:w="397"/>
        <w:gridCol w:w="442"/>
        <w:gridCol w:w="440"/>
        <w:gridCol w:w="983"/>
      </w:tblGrid>
      <w:tr w:rsidR="008F40D3" w:rsidRPr="007C0796" w:rsidTr="008F40D3">
        <w:trPr>
          <w:jc w:val="center"/>
        </w:trPr>
        <w:tc>
          <w:tcPr>
            <w:tcW w:w="51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Р. Бр.</w:t>
            </w:r>
          </w:p>
        </w:tc>
        <w:tc>
          <w:tcPr>
            <w:tcW w:w="2948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Назив постројења</w:t>
            </w:r>
          </w:p>
        </w:tc>
        <w:tc>
          <w:tcPr>
            <w:tcW w:w="1587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Област надзора</w:t>
            </w:r>
          </w:p>
        </w:tc>
        <w:tc>
          <w:tcPr>
            <w:tcW w:w="5415" w:type="dxa"/>
            <w:gridSpan w:val="13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Месец</w:t>
            </w:r>
          </w:p>
        </w:tc>
        <w:tc>
          <w:tcPr>
            <w:tcW w:w="983" w:type="dxa"/>
            <w:vMerge w:val="restart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2948" w:type="dxa"/>
            <w:vMerge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II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III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IV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V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VI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VII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VIII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IX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X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XI</w:t>
            </w: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XII</w:t>
            </w: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Merge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</w:tr>
      <w:tr w:rsidR="008F40D3" w:rsidRPr="007C0796" w:rsidTr="008F40D3">
        <w:trPr>
          <w:trHeight w:val="445"/>
          <w:jc w:val="center"/>
        </w:trPr>
        <w:tc>
          <w:tcPr>
            <w:tcW w:w="51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1.</w:t>
            </w:r>
          </w:p>
        </w:tc>
        <w:tc>
          <w:tcPr>
            <w:tcW w:w="2948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''Брзан пласт'' ДОО, Брзан                      рециклажа пластичне амбалаже и тетрапак амбалаже и производња фолије и папира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Средњи степен ризика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t>O</w:t>
            </w:r>
            <w:r w:rsidRPr="007C0796">
              <w:rPr>
                <w:lang w:val="sr-Cyrl-CS"/>
              </w:rPr>
              <w:t>тпад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45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983" w:type="dxa"/>
            <w:vAlign w:val="center"/>
          </w:tcPr>
          <w:p w:rsidR="008F40D3" w:rsidRPr="008F40D3" w:rsidRDefault="008F40D3" w:rsidP="00754B9C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2948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Мере из студије ваздух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trHeight w:val="373"/>
          <w:jc w:val="center"/>
        </w:trPr>
        <w:tc>
          <w:tcPr>
            <w:tcW w:w="51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2.</w:t>
            </w:r>
          </w:p>
        </w:tc>
        <w:tc>
          <w:tcPr>
            <w:tcW w:w="2948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''Тигар пласт Павловић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Капија Шумадије'' Брзан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рециклажа пластичне амбалаже и производња црева и цеви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Средњи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45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2948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Ваздух мере из процене утицаја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3.</w:t>
            </w:r>
          </w:p>
        </w:tc>
        <w:tc>
          <w:tcPr>
            <w:tcW w:w="2948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''Allurol’’д.о.о.</w:t>
            </w:r>
            <w:r w:rsidRPr="007C0796">
              <w:rPr>
                <w:lang w:val="sr-Cyrl-CS"/>
              </w:rPr>
              <w:t xml:space="preserve">, </w:t>
            </w:r>
            <w:r w:rsidRPr="007C0796">
              <w:rPr>
                <w:lang w:val="sr-Latn-CS"/>
              </w:rPr>
              <w:t>Баточина                       производња ПВЦ и алуминијумске столарије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 xml:space="preserve"> Средњи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Мере из процене утицаја ваздух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2948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442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trHeight w:val="340"/>
          <w:jc w:val="center"/>
        </w:trPr>
        <w:tc>
          <w:tcPr>
            <w:tcW w:w="51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4.</w:t>
            </w:r>
          </w:p>
        </w:tc>
        <w:tc>
          <w:tcPr>
            <w:tcW w:w="2948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''Полипак''ДОО, Баточина             производња полиетиленске амбалаже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Средњи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44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2948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Мере из студије ваздуха</w:t>
            </w: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trHeight w:val="378"/>
          <w:jc w:val="center"/>
        </w:trPr>
        <w:tc>
          <w:tcPr>
            <w:tcW w:w="51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5.</w:t>
            </w:r>
          </w:p>
        </w:tc>
        <w:tc>
          <w:tcPr>
            <w:tcW w:w="294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СЗТР ''Минела'', Баточина             производња сокова,воде,вафла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Низак степен ризика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Мере из студије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ваздух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6.</w:t>
            </w:r>
          </w:p>
        </w:tc>
        <w:tc>
          <w:tcPr>
            <w:tcW w:w="2948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Асфалтна база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 xml:space="preserve">''Србијааутопут'' ДОО, Градац                      </w:t>
            </w:r>
            <w:r w:rsidR="00354CB1">
              <w:rPr>
                <w:lang w:val="sr-Cyrl-CS"/>
              </w:rPr>
              <w:t xml:space="preserve">    </w:t>
            </w:r>
            <w:r w:rsidRPr="007C0796">
              <w:rPr>
                <w:lang w:val="sr-Cyrl-CS"/>
              </w:rPr>
              <w:t xml:space="preserve"> Средњи степен ризика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Ваздух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2948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top w:val="nil"/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trHeight w:val="279"/>
          <w:jc w:val="center"/>
        </w:trPr>
        <w:tc>
          <w:tcPr>
            <w:tcW w:w="51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7.</w:t>
            </w:r>
          </w:p>
        </w:tc>
        <w:tc>
          <w:tcPr>
            <w:tcW w:w="2948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 xml:space="preserve">''Енмон '' ДОО, Жировница            производња лепка за керамичке плочице и обраду фуга     </w:t>
            </w:r>
            <w:r w:rsidR="00394A13">
              <w:rPr>
                <w:lang w:val="sr-Cyrl-CS"/>
              </w:rPr>
              <w:t xml:space="preserve">             </w:t>
            </w:r>
            <w:r w:rsidRPr="007C0796">
              <w:rPr>
                <w:lang w:val="sr-Cyrl-CS"/>
              </w:rPr>
              <w:t xml:space="preserve">   Низак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44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</w:p>
        </w:tc>
        <w:tc>
          <w:tcPr>
            <w:tcW w:w="983" w:type="dxa"/>
            <w:vMerge w:val="restart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2948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Мере из студије</w:t>
            </w: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8.</w:t>
            </w:r>
          </w:p>
        </w:tc>
        <w:tc>
          <w:tcPr>
            <w:tcW w:w="2948" w:type="dxa"/>
            <w:vAlign w:val="center"/>
          </w:tcPr>
          <w:p w:rsidR="008F40D3" w:rsidRPr="00712F94" w:rsidRDefault="00712F94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ТУД''Михајловић'' Параћин, ПЈ Баточина, бенз.станица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Низак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712F94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ваздух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8F40D3" w:rsidRPr="007C0796" w:rsidRDefault="00712F94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9.</w:t>
            </w:r>
          </w:p>
        </w:tc>
        <w:tc>
          <w:tcPr>
            <w:tcW w:w="2948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''Грахаутомотиве'' ДОО, Баточина              производња кабловских и електронских инсталације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Средњи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Мере из процене утицаја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2948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10.</w:t>
            </w:r>
          </w:p>
        </w:tc>
        <w:tc>
          <w:tcPr>
            <w:tcW w:w="294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''</w:t>
            </w:r>
            <w:r w:rsidRPr="007C0796">
              <w:rPr>
                <w:lang w:val="sr-Latn-CS"/>
              </w:rPr>
              <w:t>Explocop-gradnja</w:t>
            </w:r>
            <w:r w:rsidRPr="007C0796">
              <w:rPr>
                <w:lang w:val="sr-Cyrl-CS"/>
              </w:rPr>
              <w:t xml:space="preserve">'' ДОО Баточина, Доброводица     рециклажа пепела и грађевинског отпада              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lastRenderedPageBreak/>
              <w:t>Средњи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lastRenderedPageBreak/>
              <w:t>Отпад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754B9C" w:rsidRPr="007C0796" w:rsidTr="008F40D3">
        <w:trPr>
          <w:jc w:val="center"/>
        </w:trPr>
        <w:tc>
          <w:tcPr>
            <w:tcW w:w="510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11.</w:t>
            </w:r>
          </w:p>
        </w:tc>
        <w:tc>
          <w:tcPr>
            <w:tcW w:w="2948" w:type="dxa"/>
            <w:vAlign w:val="center"/>
          </w:tcPr>
          <w:p w:rsidR="00754B9C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ТУД''Михајловић'' Параћин, БС14 Бадњевац, бенз.станиц</w:t>
            </w:r>
          </w:p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Низак степен ризика</w:t>
            </w:r>
          </w:p>
        </w:tc>
        <w:tc>
          <w:tcPr>
            <w:tcW w:w="158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ваздух</w:t>
            </w: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54B9C" w:rsidRDefault="00754B9C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754B9C" w:rsidRPr="007C0796" w:rsidRDefault="0084685E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754B9C" w:rsidRPr="008F40D3" w:rsidRDefault="00754B9C" w:rsidP="00754B9C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754B9C" w:rsidRPr="007C0796" w:rsidTr="008F40D3">
        <w:trPr>
          <w:jc w:val="center"/>
        </w:trPr>
        <w:tc>
          <w:tcPr>
            <w:tcW w:w="510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2948" w:type="dxa"/>
            <w:vAlign w:val="center"/>
          </w:tcPr>
          <w:p w:rsidR="00754B9C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ДЗППУ''Кнез петрол'' ДОО Београд, огранак у Баточини Крагујевачки пут бб</w:t>
            </w:r>
          </w:p>
          <w:p w:rsidR="00754B9C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Бензинска станица</w:t>
            </w:r>
          </w:p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Низак степен ризика</w:t>
            </w:r>
          </w:p>
        </w:tc>
        <w:tc>
          <w:tcPr>
            <w:tcW w:w="158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ваздух</w:t>
            </w: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754B9C" w:rsidRPr="007C0796" w:rsidRDefault="0084685E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754B9C" w:rsidRPr="008F40D3" w:rsidRDefault="00754B9C" w:rsidP="00754B9C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754B9C" w:rsidRPr="007C0796" w:rsidTr="008F40D3">
        <w:trPr>
          <w:jc w:val="center"/>
        </w:trPr>
        <w:tc>
          <w:tcPr>
            <w:tcW w:w="510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13.</w:t>
            </w:r>
          </w:p>
        </w:tc>
        <w:tc>
          <w:tcPr>
            <w:tcW w:w="2948" w:type="dxa"/>
            <w:vAlign w:val="center"/>
          </w:tcPr>
          <w:p w:rsidR="00754B9C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ПД ''</w:t>
            </w:r>
            <w:r>
              <w:rPr>
                <w:lang w:val="sr-Latn-CS"/>
              </w:rPr>
              <w:t>Truck petrol</w:t>
            </w:r>
            <w:r>
              <w:rPr>
                <w:lang w:val="sr-Cyrl-CS"/>
              </w:rPr>
              <w:t>'' Брзан</w:t>
            </w:r>
          </w:p>
          <w:p w:rsidR="00754B9C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Бензинска станица</w:t>
            </w:r>
          </w:p>
          <w:p w:rsidR="00754B9C" w:rsidRPr="00754B9C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Низак степен ризика</w:t>
            </w:r>
          </w:p>
        </w:tc>
        <w:tc>
          <w:tcPr>
            <w:tcW w:w="158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ваздух</w:t>
            </w: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Cyrl-CS"/>
              </w:rPr>
            </w:pPr>
          </w:p>
        </w:tc>
        <w:tc>
          <w:tcPr>
            <w:tcW w:w="397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754B9C" w:rsidRPr="007C0796" w:rsidRDefault="00754B9C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754B9C" w:rsidRPr="007C0796" w:rsidRDefault="0084685E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754B9C" w:rsidRPr="008F40D3" w:rsidRDefault="00754B9C" w:rsidP="00754B9C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Align w:val="center"/>
          </w:tcPr>
          <w:p w:rsidR="008F40D3" w:rsidRPr="007C0796" w:rsidRDefault="008F40D3" w:rsidP="0084685E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  <w:r w:rsidR="0084685E">
              <w:rPr>
                <w:lang w:val="sr-Cyrl-CS"/>
              </w:rPr>
              <w:t>4</w:t>
            </w:r>
            <w:r w:rsidRPr="007C0796">
              <w:rPr>
                <w:lang w:val="sr-Cyrl-CS"/>
              </w:rPr>
              <w:t>.</w:t>
            </w:r>
          </w:p>
        </w:tc>
        <w:tc>
          <w:tcPr>
            <w:tcW w:w="294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Аутосервис''Милутиновић''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Милутиновић Славиша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 xml:space="preserve">Брзан       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Низак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50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Align w:val="center"/>
          </w:tcPr>
          <w:p w:rsidR="008F40D3" w:rsidRPr="007C0796" w:rsidRDefault="008F40D3" w:rsidP="0084685E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  <w:r w:rsidR="0084685E">
              <w:rPr>
                <w:lang w:val="sr-Cyrl-CS"/>
              </w:rPr>
              <w:t>5</w:t>
            </w:r>
            <w:r w:rsidRPr="007C0796">
              <w:rPr>
                <w:lang w:val="sr-Cyrl-CS"/>
              </w:rPr>
              <w:t>.</w:t>
            </w:r>
          </w:p>
        </w:tc>
        <w:tc>
          <w:tcPr>
            <w:tcW w:w="294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СЗР ''Вулкан''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 xml:space="preserve">Миленковић Зоран, Горња Баточина        вулканизерска радња         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Низак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50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Align w:val="center"/>
          </w:tcPr>
          <w:p w:rsidR="008F40D3" w:rsidRPr="007C0796" w:rsidRDefault="008F40D3" w:rsidP="0084685E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  <w:r w:rsidR="0084685E">
              <w:rPr>
                <w:lang w:val="sr-Cyrl-CS"/>
              </w:rPr>
              <w:t>6</w:t>
            </w:r>
            <w:r w:rsidRPr="007C0796">
              <w:rPr>
                <w:lang w:val="sr-Cyrl-CS"/>
              </w:rPr>
              <w:t>.</w:t>
            </w:r>
          </w:p>
        </w:tc>
        <w:tc>
          <w:tcPr>
            <w:tcW w:w="294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Аутосервис ''Цака''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Цалић Дејан, Баточина                       Низак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50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Align w:val="center"/>
          </w:tcPr>
          <w:p w:rsidR="008F40D3" w:rsidRPr="007C0796" w:rsidRDefault="008F40D3" w:rsidP="0084685E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  <w:r w:rsidR="0084685E">
              <w:rPr>
                <w:lang w:val="sr-Cyrl-CS"/>
              </w:rPr>
              <w:t>7</w:t>
            </w:r>
            <w:r w:rsidRPr="007C0796">
              <w:rPr>
                <w:lang w:val="sr-Cyrl-CS"/>
              </w:rPr>
              <w:t>.</w:t>
            </w:r>
          </w:p>
        </w:tc>
        <w:tc>
          <w:tcPr>
            <w:tcW w:w="294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Надзор над спровођењем Локалног плана управљања отпадом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4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trHeight w:val="340"/>
          <w:jc w:val="center"/>
        </w:trPr>
        <w:tc>
          <w:tcPr>
            <w:tcW w:w="510" w:type="dxa"/>
            <w:vAlign w:val="center"/>
          </w:tcPr>
          <w:p w:rsidR="008F40D3" w:rsidRPr="007C0796" w:rsidRDefault="008F40D3" w:rsidP="0084685E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  <w:r w:rsidR="0084685E">
              <w:rPr>
                <w:lang w:val="sr-Cyrl-CS"/>
              </w:rPr>
              <w:t>8</w:t>
            </w:r>
            <w:r w:rsidRPr="007C0796">
              <w:rPr>
                <w:lang w:val="sr-Cyrl-CS"/>
              </w:rPr>
              <w:t>.</w:t>
            </w:r>
          </w:p>
        </w:tc>
        <w:tc>
          <w:tcPr>
            <w:tcW w:w="294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Заштићено природно добро ''Рогот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Заштита природе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trHeight w:val="283"/>
          <w:jc w:val="center"/>
        </w:trPr>
        <w:tc>
          <w:tcPr>
            <w:tcW w:w="510" w:type="dxa"/>
            <w:vMerge w:val="restart"/>
            <w:vAlign w:val="center"/>
          </w:tcPr>
          <w:p w:rsidR="008F40D3" w:rsidRPr="007C0796" w:rsidRDefault="0084685E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19</w:t>
            </w:r>
            <w:r w:rsidR="008F40D3" w:rsidRPr="007C0796">
              <w:rPr>
                <w:lang w:val="sr-Cyrl-CS"/>
              </w:rPr>
              <w:t>.</w:t>
            </w:r>
          </w:p>
        </w:tc>
        <w:tc>
          <w:tcPr>
            <w:tcW w:w="2948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 xml:space="preserve">Градска топлана ''ТМГ Топлота'' Баточина 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Средњи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Отпад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bottom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</w:p>
        </w:tc>
        <w:tc>
          <w:tcPr>
            <w:tcW w:w="2948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Ваздух</w:t>
            </w: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440" w:type="dxa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Align w:val="center"/>
          </w:tcPr>
          <w:p w:rsidR="008F40D3" w:rsidRPr="007C0796" w:rsidRDefault="0084685E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8F40D3" w:rsidRPr="007C0796">
              <w:rPr>
                <w:lang w:val="sr-Cyrl-CS"/>
              </w:rPr>
              <w:t>.</w:t>
            </w:r>
          </w:p>
        </w:tc>
        <w:tc>
          <w:tcPr>
            <w:tcW w:w="294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''</w:t>
            </w:r>
            <w:r w:rsidRPr="007C0796">
              <w:t>ТЕЛЕКОМ</w:t>
            </w:r>
            <w:r w:rsidRPr="007C0796">
              <w:rPr>
                <w:lang w:val="sr-Cyrl-CS"/>
              </w:rPr>
              <w:t xml:space="preserve"> СРБИЈА''а.д.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Мобилни оператер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Низак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t>Нејонизујуће зрачење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510" w:type="dxa"/>
            <w:vAlign w:val="center"/>
          </w:tcPr>
          <w:p w:rsidR="008F40D3" w:rsidRPr="007C0796" w:rsidRDefault="0084685E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  <w:r w:rsidR="008F40D3" w:rsidRPr="007C0796">
              <w:rPr>
                <w:lang w:val="sr-Cyrl-CS"/>
              </w:rPr>
              <w:t>.</w:t>
            </w:r>
          </w:p>
        </w:tc>
        <w:tc>
          <w:tcPr>
            <w:tcW w:w="294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''</w:t>
            </w:r>
            <w:r w:rsidRPr="007C0796">
              <w:rPr>
                <w:lang w:val="sr-Latn-CS"/>
              </w:rPr>
              <w:t>TELENOR</w:t>
            </w:r>
            <w:r w:rsidRPr="007C0796">
              <w:rPr>
                <w:lang w:val="sr-Cyrl-CS"/>
              </w:rPr>
              <w:t xml:space="preserve">'' ДОО </w:t>
            </w:r>
          </w:p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Мобилни оператер</w:t>
            </w:r>
          </w:p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Cyrl-CS"/>
              </w:rPr>
              <w:t>Низак степен ризика</w:t>
            </w:r>
          </w:p>
        </w:tc>
        <w:tc>
          <w:tcPr>
            <w:tcW w:w="158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t>Нејонизујуће зрачење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х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5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50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1</w:t>
            </w:r>
          </w:p>
        </w:tc>
        <w:tc>
          <w:tcPr>
            <w:tcW w:w="983" w:type="dxa"/>
            <w:vAlign w:val="center"/>
          </w:tcPr>
          <w:p w:rsidR="008F40D3" w:rsidRPr="007C0796" w:rsidRDefault="00514875" w:rsidP="00754B9C">
            <w:pPr>
              <w:pStyle w:val="NoSpacing"/>
              <w:rPr>
                <w:lang w:val="sr-Latn-CS"/>
              </w:rPr>
            </w:pPr>
            <w:r w:rsidRPr="008F40D3">
              <w:rPr>
                <w:sz w:val="18"/>
                <w:szCs w:val="18"/>
                <w:lang w:val="sr-Cyrl-CS"/>
              </w:rPr>
              <w:t>извршен</w:t>
            </w:r>
            <w:r>
              <w:rPr>
                <w:sz w:val="18"/>
                <w:szCs w:val="18"/>
                <w:lang w:val="sr-Cyrl-CS"/>
              </w:rPr>
              <w:t>о</w:t>
            </w:r>
          </w:p>
        </w:tc>
      </w:tr>
      <w:tr w:rsidR="008F40D3" w:rsidRPr="007C0796" w:rsidTr="008F40D3">
        <w:trPr>
          <w:jc w:val="center"/>
        </w:trPr>
        <w:tc>
          <w:tcPr>
            <w:tcW w:w="11443" w:type="dxa"/>
            <w:gridSpan w:val="17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</w:tr>
      <w:tr w:rsidR="008F40D3" w:rsidRPr="007C0796" w:rsidTr="008F40D3">
        <w:trPr>
          <w:jc w:val="center"/>
        </w:trPr>
        <w:tc>
          <w:tcPr>
            <w:tcW w:w="5045" w:type="dxa"/>
            <w:gridSpan w:val="3"/>
            <w:vMerge w:val="restart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У К У П Н О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II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III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IV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V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VI</w:t>
            </w:r>
          </w:p>
        </w:tc>
        <w:tc>
          <w:tcPr>
            <w:tcW w:w="45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VII</w:t>
            </w:r>
          </w:p>
        </w:tc>
        <w:tc>
          <w:tcPr>
            <w:tcW w:w="50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VIII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IX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X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XI</w:t>
            </w:r>
          </w:p>
        </w:tc>
        <w:tc>
          <w:tcPr>
            <w:tcW w:w="44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  <w:r w:rsidRPr="007C0796">
              <w:rPr>
                <w:lang w:val="sr-Latn-CS"/>
              </w:rPr>
              <w:t>XII</w:t>
            </w:r>
          </w:p>
        </w:tc>
        <w:tc>
          <w:tcPr>
            <w:tcW w:w="440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  <w:tc>
          <w:tcPr>
            <w:tcW w:w="983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Latn-CS"/>
              </w:rPr>
            </w:pPr>
          </w:p>
        </w:tc>
      </w:tr>
      <w:tr w:rsidR="008F40D3" w:rsidRPr="007C0796" w:rsidTr="008F40D3">
        <w:trPr>
          <w:jc w:val="center"/>
        </w:trPr>
        <w:tc>
          <w:tcPr>
            <w:tcW w:w="5045" w:type="dxa"/>
            <w:gridSpan w:val="3"/>
            <w:vMerge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397" w:type="dxa"/>
            <w:vAlign w:val="center"/>
          </w:tcPr>
          <w:p w:rsidR="008F40D3" w:rsidRPr="007C0796" w:rsidRDefault="0084685E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397" w:type="dxa"/>
            <w:vAlign w:val="center"/>
          </w:tcPr>
          <w:p w:rsidR="008F40D3" w:rsidRPr="007C0796" w:rsidRDefault="0084685E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397" w:type="dxa"/>
            <w:vAlign w:val="center"/>
          </w:tcPr>
          <w:p w:rsidR="008F40D3" w:rsidRPr="007C0796" w:rsidRDefault="0084685E" w:rsidP="00754B9C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45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3</w:t>
            </w:r>
          </w:p>
        </w:tc>
        <w:tc>
          <w:tcPr>
            <w:tcW w:w="508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3</w:t>
            </w:r>
          </w:p>
        </w:tc>
        <w:tc>
          <w:tcPr>
            <w:tcW w:w="397" w:type="dxa"/>
            <w:vAlign w:val="center"/>
          </w:tcPr>
          <w:p w:rsidR="008F40D3" w:rsidRPr="008D662B" w:rsidRDefault="008D662B" w:rsidP="00754B9C">
            <w:pPr>
              <w:pStyle w:val="NoSpacing"/>
            </w:pPr>
            <w:r>
              <w:t>3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4</w:t>
            </w:r>
          </w:p>
        </w:tc>
        <w:tc>
          <w:tcPr>
            <w:tcW w:w="397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442" w:type="dxa"/>
            <w:vAlign w:val="center"/>
          </w:tcPr>
          <w:p w:rsidR="008F40D3" w:rsidRPr="007C0796" w:rsidRDefault="008F40D3" w:rsidP="00754B9C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2</w:t>
            </w:r>
          </w:p>
        </w:tc>
        <w:tc>
          <w:tcPr>
            <w:tcW w:w="440" w:type="dxa"/>
            <w:vAlign w:val="center"/>
          </w:tcPr>
          <w:p w:rsidR="008F40D3" w:rsidRPr="007C0796" w:rsidRDefault="008F40D3" w:rsidP="0084685E">
            <w:pPr>
              <w:pStyle w:val="NoSpacing"/>
              <w:rPr>
                <w:lang w:val="sr-Cyrl-CS"/>
              </w:rPr>
            </w:pPr>
            <w:r w:rsidRPr="007C0796">
              <w:rPr>
                <w:lang w:val="sr-Cyrl-CS"/>
              </w:rPr>
              <w:t>3</w:t>
            </w:r>
            <w:r w:rsidR="0084685E">
              <w:rPr>
                <w:lang w:val="sr-Cyrl-CS"/>
              </w:rPr>
              <w:t>3</w:t>
            </w:r>
          </w:p>
        </w:tc>
        <w:tc>
          <w:tcPr>
            <w:tcW w:w="983" w:type="dxa"/>
            <w:vAlign w:val="center"/>
          </w:tcPr>
          <w:p w:rsidR="008F40D3" w:rsidRPr="00514875" w:rsidRDefault="0084685E" w:rsidP="00514875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32</w:t>
            </w:r>
          </w:p>
        </w:tc>
      </w:tr>
    </w:tbl>
    <w:p w:rsidR="008F40D3" w:rsidRPr="008F40D3" w:rsidRDefault="008F40D3" w:rsidP="0020381D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8F40D3" w:rsidRDefault="008F40D3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  <w:sectPr w:rsidR="008F40D3" w:rsidSect="008F40D3">
          <w:pgSz w:w="12240" w:h="15840"/>
          <w:pgMar w:top="397" w:right="397" w:bottom="397" w:left="397" w:header="709" w:footer="709" w:gutter="0"/>
          <w:cols w:space="708"/>
          <w:docGrid w:linePitch="360"/>
        </w:sectPr>
      </w:pPr>
    </w:p>
    <w:p w:rsidR="007951E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B5588D">
        <w:rPr>
          <w:rFonts w:ascii="Times New Roman" w:hAnsi="Times New Roman" w:cs="Times New Roman"/>
          <w:b/>
          <w:sz w:val="28"/>
          <w:szCs w:val="28"/>
          <w:lang w:val="sr-Cyrl-CS"/>
        </w:rPr>
        <w:lastRenderedPageBreak/>
        <w:t>Ниво координације инспекцијског надзора са инспекцијским надзором кога врше друге инспекције.</w:t>
      </w:r>
      <w:r w:rsidR="0088797D">
        <w:rPr>
          <w:rFonts w:ascii="Times New Roman" w:hAnsi="Times New Roman" w:cs="Times New Roman"/>
          <w:sz w:val="28"/>
          <w:szCs w:val="28"/>
          <w:lang w:val="sr-Cyrl-CS"/>
        </w:rPr>
        <w:t xml:space="preserve"> Током 202</w:t>
      </w:r>
      <w:r w:rsidR="009A2028">
        <w:rPr>
          <w:rFonts w:ascii="Times New Roman" w:hAnsi="Times New Roman" w:cs="Times New Roman"/>
          <w:sz w:val="28"/>
          <w:szCs w:val="28"/>
          <w:lang w:val="sr-Cyrl-CS"/>
        </w:rPr>
        <w:t>2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 xml:space="preserve">. године </w:t>
      </w:r>
      <w:r w:rsidR="004A3A04">
        <w:rPr>
          <w:rFonts w:ascii="Times New Roman" w:hAnsi="Times New Roman" w:cs="Times New Roman"/>
          <w:sz w:val="28"/>
          <w:szCs w:val="28"/>
          <w:lang w:val="sr-Cyrl-CS"/>
        </w:rPr>
        <w:t>постојала је перманентна сарадња са републичком инспекцијом</w:t>
      </w:r>
      <w:r w:rsidR="008066C8">
        <w:rPr>
          <w:rFonts w:ascii="Times New Roman" w:hAnsi="Times New Roman" w:cs="Times New Roman"/>
          <w:sz w:val="28"/>
          <w:szCs w:val="28"/>
          <w:lang w:val="sr-Cyrl-CS"/>
        </w:rPr>
        <w:t xml:space="preserve"> заштит</w:t>
      </w:r>
      <w:r w:rsidR="004A3A04">
        <w:rPr>
          <w:rFonts w:ascii="Times New Roman" w:hAnsi="Times New Roman" w:cs="Times New Roman"/>
          <w:sz w:val="28"/>
          <w:szCs w:val="28"/>
          <w:lang w:val="sr-Cyrl-CS"/>
        </w:rPr>
        <w:t>е</w:t>
      </w:r>
      <w:r w:rsidR="008066C8">
        <w:rPr>
          <w:rFonts w:ascii="Times New Roman" w:hAnsi="Times New Roman" w:cs="Times New Roman"/>
          <w:sz w:val="28"/>
          <w:szCs w:val="28"/>
          <w:lang w:val="sr-Cyrl-CS"/>
        </w:rPr>
        <w:t xml:space="preserve"> животне</w:t>
      </w:r>
      <w:r w:rsidR="004A3A04">
        <w:rPr>
          <w:rFonts w:ascii="Times New Roman" w:hAnsi="Times New Roman" w:cs="Times New Roman"/>
          <w:sz w:val="28"/>
          <w:szCs w:val="28"/>
          <w:lang w:val="sr-Cyrl-CS"/>
        </w:rPr>
        <w:t xml:space="preserve"> средине</w:t>
      </w:r>
      <w:r w:rsidR="008066C8">
        <w:rPr>
          <w:rFonts w:ascii="Times New Roman" w:hAnsi="Times New Roman" w:cs="Times New Roman"/>
          <w:sz w:val="28"/>
          <w:szCs w:val="28"/>
          <w:lang w:val="sr-Cyrl-CS"/>
        </w:rPr>
        <w:t>,</w:t>
      </w:r>
      <w:r w:rsidR="004A3A04">
        <w:rPr>
          <w:rFonts w:ascii="Times New Roman" w:hAnsi="Times New Roman" w:cs="Times New Roman"/>
          <w:sz w:val="28"/>
          <w:szCs w:val="28"/>
          <w:lang w:val="sr-Cyrl-CS"/>
        </w:rPr>
        <w:t xml:space="preserve"> а </w:t>
      </w:r>
      <w:r w:rsidR="000A6E50">
        <w:rPr>
          <w:rFonts w:ascii="Times New Roman" w:hAnsi="Times New Roman" w:cs="Times New Roman"/>
          <w:sz w:val="28"/>
          <w:szCs w:val="28"/>
          <w:lang w:val="sr-Cyrl-CS"/>
        </w:rPr>
        <w:t>такође</w:t>
      </w:r>
      <w:r w:rsidRPr="00B5588D">
        <w:rPr>
          <w:rFonts w:ascii="Times New Roman" w:hAnsi="Times New Roman" w:cs="Times New Roman"/>
          <w:sz w:val="28"/>
          <w:szCs w:val="28"/>
          <w:lang w:val="sr-Cyrl-CS"/>
        </w:rPr>
        <w:t xml:space="preserve"> инспе</w:t>
      </w:r>
      <w:r w:rsidR="00E26498">
        <w:rPr>
          <w:rFonts w:ascii="Times New Roman" w:hAnsi="Times New Roman" w:cs="Times New Roman"/>
          <w:sz w:val="28"/>
          <w:szCs w:val="28"/>
          <w:lang w:val="sr-Cyrl-CS"/>
        </w:rPr>
        <w:t>к</w:t>
      </w:r>
      <w:r w:rsidR="000A6E50">
        <w:rPr>
          <w:rFonts w:ascii="Times New Roman" w:hAnsi="Times New Roman" w:cs="Times New Roman"/>
          <w:sz w:val="28"/>
          <w:szCs w:val="28"/>
          <w:lang w:val="sr-Cyrl-CS"/>
        </w:rPr>
        <w:t>тор оства</w:t>
      </w:r>
      <w:r w:rsidR="004A3A04">
        <w:rPr>
          <w:rFonts w:ascii="Times New Roman" w:hAnsi="Times New Roman" w:cs="Times New Roman"/>
          <w:sz w:val="28"/>
          <w:szCs w:val="28"/>
          <w:lang w:val="sr-Cyrl-CS"/>
        </w:rPr>
        <w:t xml:space="preserve">рује вишегодишњу </w:t>
      </w:r>
      <w:r w:rsidRPr="00B5588D">
        <w:rPr>
          <w:rFonts w:ascii="Times New Roman" w:hAnsi="Times New Roman" w:cs="Times New Roman"/>
          <w:sz w:val="28"/>
          <w:szCs w:val="28"/>
          <w:lang w:val="sr-Cyrl-CS"/>
        </w:rPr>
        <w:t>сарадњу са републичким инспекторима за заштиту животне средине и</w:t>
      </w:r>
      <w:r w:rsidR="003744F7">
        <w:rPr>
          <w:rFonts w:ascii="Times New Roman" w:hAnsi="Times New Roman" w:cs="Times New Roman"/>
          <w:sz w:val="28"/>
          <w:szCs w:val="28"/>
          <w:lang w:val="sr-Cyrl-CS"/>
        </w:rPr>
        <w:t xml:space="preserve">з Шумадијског </w:t>
      </w:r>
      <w:r w:rsidR="0088797D">
        <w:rPr>
          <w:rFonts w:ascii="Times New Roman" w:hAnsi="Times New Roman" w:cs="Times New Roman"/>
          <w:sz w:val="28"/>
          <w:szCs w:val="28"/>
          <w:lang w:val="sr-Cyrl-CS"/>
        </w:rPr>
        <w:t xml:space="preserve">управног </w:t>
      </w:r>
      <w:r w:rsidR="003744F7">
        <w:rPr>
          <w:rFonts w:ascii="Times New Roman" w:hAnsi="Times New Roman" w:cs="Times New Roman"/>
          <w:sz w:val="28"/>
          <w:szCs w:val="28"/>
          <w:lang w:val="sr-Cyrl-CS"/>
        </w:rPr>
        <w:t xml:space="preserve">округа. 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>Перманентна с</w:t>
      </w:r>
      <w:r w:rsidRPr="00B5588D">
        <w:rPr>
          <w:rFonts w:ascii="Times New Roman" w:hAnsi="Times New Roman" w:cs="Times New Roman"/>
          <w:sz w:val="28"/>
          <w:szCs w:val="28"/>
          <w:lang w:val="sr-Cyrl-CS"/>
        </w:rPr>
        <w:t xml:space="preserve">арадња 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>постоји са свим општинским инспекцијама</w:t>
      </w:r>
      <w:r w:rsidRPr="00B5588D">
        <w:rPr>
          <w:rFonts w:ascii="Times New Roman" w:hAnsi="Times New Roman" w:cs="Times New Roman"/>
          <w:sz w:val="28"/>
          <w:szCs w:val="28"/>
          <w:lang w:val="sr-Cyrl-CS"/>
        </w:rPr>
        <w:t>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63339A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Прикупљање података везано за власнике парцела вршено је у сарадњи са грађевинском инспекцијом и катастром.</w:t>
      </w:r>
    </w:p>
    <w:p w:rsidR="00E932FF" w:rsidRPr="00E932FF" w:rsidRDefault="00E932FF" w:rsidP="00E932FF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Добра сарадња и координација постоји са републичким органима и службама у свим пословима комуникације и припреме разних аката.</w:t>
      </w:r>
    </w:p>
    <w:p w:rsidR="00FA0420" w:rsidRPr="00FA0420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Материјални, технички и кадровски ресурси које је инспекција користила</w:t>
      </w:r>
      <w:r w:rsidR="004D1218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у вршењу инспекцијског надзора и мерама предузетим у циљу делотворне употребе ресурса инспекције и резултатима предузетих мера.</w:t>
      </w:r>
      <w:r w:rsidR="00330242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="008B5E03">
        <w:rPr>
          <w:rFonts w:ascii="Times New Roman" w:hAnsi="Times New Roman" w:cs="Times New Roman"/>
          <w:sz w:val="28"/>
          <w:szCs w:val="28"/>
          <w:lang w:val="sr-Cyrl-CS"/>
        </w:rPr>
        <w:t xml:space="preserve">На пословима </w:t>
      </w:r>
      <w:r w:rsidR="004A3A04">
        <w:rPr>
          <w:rFonts w:ascii="Times New Roman" w:hAnsi="Times New Roman" w:cs="Times New Roman"/>
          <w:sz w:val="28"/>
          <w:szCs w:val="28"/>
          <w:lang w:val="sr-Cyrl-CS"/>
        </w:rPr>
        <w:t>шефа одсека за инспекцијске послове, који обавља послове</w:t>
      </w:r>
      <w:r w:rsidR="00E932F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AF0764">
        <w:rPr>
          <w:rFonts w:ascii="Times New Roman" w:hAnsi="Times New Roman" w:cs="Times New Roman"/>
          <w:sz w:val="28"/>
          <w:szCs w:val="28"/>
          <w:lang w:val="sr-Cyrl-CS"/>
        </w:rPr>
        <w:t>инспек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ције за заштиту животне средине </w:t>
      </w:r>
      <w:r w:rsidR="00E932FF">
        <w:rPr>
          <w:rFonts w:ascii="Times New Roman" w:hAnsi="Times New Roman" w:cs="Times New Roman"/>
          <w:sz w:val="28"/>
          <w:szCs w:val="28"/>
          <w:lang w:val="sr-Cyrl-CS"/>
        </w:rPr>
        <w:t>ради</w:t>
      </w:r>
      <w:r w:rsidR="008B5E03">
        <w:rPr>
          <w:rFonts w:ascii="Times New Roman" w:hAnsi="Times New Roman" w:cs="Times New Roman"/>
          <w:sz w:val="28"/>
          <w:szCs w:val="28"/>
          <w:lang w:val="sr-Cyrl-CS"/>
        </w:rPr>
        <w:t xml:space="preserve"> један извршилац.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 xml:space="preserve"> Инспекцијска служба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Општине</w:t>
      </w:r>
      <w:r w:rsidRPr="00B5588D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>Баточина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 xml:space="preserve"> користи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E932FF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260C6B">
        <w:rPr>
          <w:rFonts w:ascii="Times New Roman" w:hAnsi="Times New Roman" w:cs="Times New Roman"/>
          <w:sz w:val="28"/>
          <w:szCs w:val="28"/>
          <w:lang w:val="sr-Cyrl-CS"/>
        </w:rPr>
        <w:t xml:space="preserve">службени 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>ауто</w:t>
      </w:r>
      <w:r w:rsidR="00E932FF">
        <w:rPr>
          <w:rFonts w:ascii="Times New Roman" w:hAnsi="Times New Roman" w:cs="Times New Roman"/>
          <w:sz w:val="28"/>
          <w:szCs w:val="28"/>
          <w:lang w:val="sr-Cyrl-CS"/>
        </w:rPr>
        <w:t>мобил</w:t>
      </w:r>
      <w:r w:rsidR="000B7C0F">
        <w:rPr>
          <w:rFonts w:ascii="Times New Roman" w:hAnsi="Times New Roman" w:cs="Times New Roman"/>
          <w:sz w:val="28"/>
          <w:szCs w:val="28"/>
          <w:lang w:val="sr-Cyrl-CS"/>
        </w:rPr>
        <w:t xml:space="preserve"> ОУ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 Од остале опреме </w:t>
      </w:r>
      <w:r w:rsidR="00260C6B">
        <w:rPr>
          <w:rFonts w:ascii="Times New Roman" w:hAnsi="Times New Roman" w:cs="Times New Roman"/>
          <w:sz w:val="28"/>
          <w:szCs w:val="28"/>
          <w:lang w:val="sr-Cyrl-CS"/>
        </w:rPr>
        <w:t>инспектор користи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4D1218">
        <w:rPr>
          <w:rFonts w:ascii="Times New Roman" w:hAnsi="Times New Roman" w:cs="Times New Roman"/>
          <w:sz w:val="28"/>
          <w:szCs w:val="28"/>
          <w:lang w:val="sr-Cyrl-CS"/>
        </w:rPr>
        <w:t xml:space="preserve">један </w:t>
      </w:r>
      <w:r>
        <w:rPr>
          <w:rFonts w:ascii="Times New Roman" w:hAnsi="Times New Roman" w:cs="Times New Roman"/>
          <w:sz w:val="28"/>
          <w:szCs w:val="28"/>
          <w:lang w:val="sr-Cyrl-CS"/>
        </w:rPr>
        <w:t>компјутер, штампач, опрем</w:t>
      </w:r>
      <w:r w:rsidR="00260C6B">
        <w:rPr>
          <w:rFonts w:ascii="Times New Roman" w:hAnsi="Times New Roman" w:cs="Times New Roman"/>
          <w:sz w:val="28"/>
          <w:szCs w:val="28"/>
          <w:lang w:val="sr-Cyrl-CS"/>
        </w:rPr>
        <w:t>у повезану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са интернетом,</w:t>
      </w:r>
      <w:r w:rsidR="00E26498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9A2028">
        <w:rPr>
          <w:rFonts w:ascii="Times New Roman" w:hAnsi="Times New Roman" w:cs="Times New Roman"/>
          <w:sz w:val="28"/>
          <w:szCs w:val="28"/>
          <w:lang w:val="sr-Cyrl-CS"/>
        </w:rPr>
        <w:t>службени телефон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 </w:t>
      </w:r>
    </w:p>
    <w:p w:rsidR="007951E6" w:rsidRPr="00FA0420" w:rsidRDefault="00FA0420" w:rsidP="00FA0420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FA0420">
        <w:rPr>
          <w:rStyle w:val="Emphasis"/>
          <w:rFonts w:ascii="Times New Roman" w:hAnsi="Times New Roman" w:cs="Times New Roman"/>
          <w:i w:val="0"/>
          <w:iCs w:val="0"/>
          <w:sz w:val="28"/>
          <w:szCs w:val="28"/>
          <w:lang w:val="sr-Cyrl-CS"/>
        </w:rPr>
        <w:t>Обављају се и сви послови из домена заштите животне средине, а у датим пословима су и одштетни захтеви због уједа паса луталица, са комплетном процедуром и комисијским учешћем.</w:t>
      </w:r>
    </w:p>
    <w:p w:rsidR="007951E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Придржавање рокова прописаних за поступање инспекције.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Странке су о редовном инспекцијском надзору уредно обавештаване, поштовали су се законски рокови за сва поступања у инспекцијском надзору. Планови и програми рада уредно су</w:t>
      </w:r>
      <w:r w:rsidR="00F1753D">
        <w:rPr>
          <w:rFonts w:ascii="Times New Roman" w:hAnsi="Times New Roman" w:cs="Times New Roman"/>
          <w:sz w:val="28"/>
          <w:szCs w:val="28"/>
          <w:lang w:val="sr-Cyrl-CS"/>
        </w:rPr>
        <w:t xml:space="preserve"> објављени на интернет страници</w:t>
      </w:r>
      <w:r>
        <w:rPr>
          <w:rFonts w:ascii="Times New Roman" w:hAnsi="Times New Roman" w:cs="Times New Roman"/>
          <w:sz w:val="28"/>
          <w:szCs w:val="28"/>
          <w:lang w:val="sr-Cyrl-CS"/>
        </w:rPr>
        <w:t>, као и контролне листе. Странке</w:t>
      </w:r>
      <w:r w:rsidR="0088797D">
        <w:rPr>
          <w:rFonts w:ascii="Times New Roman" w:hAnsi="Times New Roman" w:cs="Times New Roman"/>
          <w:sz w:val="28"/>
          <w:szCs w:val="28"/>
          <w:lang w:val="sr-Cyrl-CS"/>
        </w:rPr>
        <w:t>,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којима су налагане одређене мере углавном су поштовале рокове одређене записницима- решењима. </w:t>
      </w:r>
    </w:p>
    <w:p w:rsidR="008D017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892744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Законитост управних аката донетих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у</w:t>
      </w:r>
      <w:r w:rsidRPr="00892744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инспекцијском надзору ( број другостепених поступака, њихов исход, број покренутих уп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р</w:t>
      </w:r>
      <w:r w:rsidRPr="00892744">
        <w:rPr>
          <w:rFonts w:ascii="Times New Roman" w:hAnsi="Times New Roman" w:cs="Times New Roman"/>
          <w:b/>
          <w:sz w:val="28"/>
          <w:szCs w:val="28"/>
          <w:lang w:val="sr-Cyrl-CS"/>
        </w:rPr>
        <w:t>авних спорова, њихов исход,)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="00AE0858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521563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7951E6" w:rsidRDefault="008D0176" w:rsidP="008D0176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Сви инспекцијски надзори и сваки записник и решење су покренути и донети са истицањем законског основа по ком се поступа</w:t>
      </w:r>
      <w:r w:rsidR="00AE0858">
        <w:rPr>
          <w:rFonts w:ascii="Times New Roman" w:hAnsi="Times New Roman" w:cs="Times New Roman"/>
          <w:sz w:val="28"/>
          <w:szCs w:val="28"/>
          <w:lang w:val="sr-Cyrl-CS"/>
        </w:rPr>
        <w:t>.</w:t>
      </w:r>
      <w:r w:rsidR="009A4131">
        <w:rPr>
          <w:rFonts w:ascii="Times New Roman" w:hAnsi="Times New Roman" w:cs="Times New Roman"/>
          <w:sz w:val="28"/>
          <w:szCs w:val="28"/>
          <w:lang w:val="sr-Cyrl-CS"/>
        </w:rPr>
        <w:t xml:space="preserve"> Није било приговора ни жалби на донете записнике и решења.</w:t>
      </w:r>
    </w:p>
    <w:p w:rsidR="007951E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Поступање у решавању </w:t>
      </w:r>
      <w:r w:rsidR="00A94884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приговора и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притужби на рад инспекције, са исходима тог поступања, уз посебно истицање броја поднетих</w:t>
      </w:r>
      <w:r w:rsidR="00A94884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приговора и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</w:t>
      </w:r>
      <w:r w:rsidR="008B5E03">
        <w:rPr>
          <w:rFonts w:ascii="Times New Roman" w:hAnsi="Times New Roman" w:cs="Times New Roman"/>
          <w:b/>
          <w:sz w:val="28"/>
          <w:szCs w:val="28"/>
          <w:lang w:val="sr-Cyrl-CS"/>
        </w:rPr>
        <w:t>притужби из области рада на које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су се односиле </w:t>
      </w:r>
      <w:r w:rsidR="003862EF">
        <w:rPr>
          <w:rFonts w:ascii="Times New Roman" w:hAnsi="Times New Roman" w:cs="Times New Roman"/>
          <w:sz w:val="28"/>
          <w:szCs w:val="28"/>
          <w:lang w:val="sr-Cyrl-CS"/>
        </w:rPr>
        <w:t xml:space="preserve"> У </w:t>
      </w:r>
      <w:r w:rsidR="009A2028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извештајном периоду, упућена </w:t>
      </w:r>
      <w:r w:rsidR="006A1617">
        <w:rPr>
          <w:rFonts w:ascii="Times New Roman" w:hAnsi="Times New Roman" w:cs="Times New Roman"/>
          <w:sz w:val="28"/>
          <w:szCs w:val="28"/>
          <w:lang w:val="sr-Cyrl-CS"/>
        </w:rPr>
        <w:t xml:space="preserve">је </w:t>
      </w:r>
      <w:r w:rsidR="003862EF">
        <w:rPr>
          <w:rFonts w:ascii="Times New Roman" w:hAnsi="Times New Roman" w:cs="Times New Roman"/>
          <w:sz w:val="28"/>
          <w:szCs w:val="28"/>
          <w:lang w:val="sr-Cyrl-CS"/>
        </w:rPr>
        <w:t>једна представка, која се односила на окончан предмет из претходног периода, у ком је извршено мерење буке и приговор се односио на резултате мерења. Прослеђен</w:t>
      </w:r>
      <w:r w:rsidR="009A2028">
        <w:rPr>
          <w:rFonts w:ascii="Times New Roman" w:hAnsi="Times New Roman" w:cs="Times New Roman"/>
          <w:sz w:val="28"/>
          <w:szCs w:val="28"/>
          <w:lang w:val="sr-Cyrl-CS"/>
        </w:rPr>
        <w:t xml:space="preserve">о </w:t>
      </w:r>
      <w:r w:rsidR="00063125">
        <w:rPr>
          <w:rFonts w:ascii="Times New Roman" w:hAnsi="Times New Roman" w:cs="Times New Roman"/>
          <w:sz w:val="28"/>
          <w:szCs w:val="28"/>
          <w:lang w:val="sr-Cyrl-CS"/>
        </w:rPr>
        <w:t xml:space="preserve">је </w:t>
      </w:r>
      <w:r w:rsidR="003862EF">
        <w:rPr>
          <w:rFonts w:ascii="Times New Roman" w:hAnsi="Times New Roman" w:cs="Times New Roman"/>
          <w:sz w:val="28"/>
          <w:szCs w:val="28"/>
          <w:lang w:val="sr-Cyrl-CS"/>
        </w:rPr>
        <w:t>детаљно обавештење подносиоцу представке</w:t>
      </w:r>
      <w:r>
        <w:rPr>
          <w:rFonts w:ascii="Times New Roman" w:hAnsi="Times New Roman" w:cs="Times New Roman"/>
          <w:sz w:val="28"/>
          <w:szCs w:val="28"/>
          <w:lang w:val="sr-Cyrl-CS"/>
        </w:rPr>
        <w:t>.</w:t>
      </w:r>
    </w:p>
    <w:p w:rsidR="007951E6" w:rsidRPr="0074256E" w:rsidRDefault="00024D44" w:rsidP="0074256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Програми стручног усавршавања који су похађали инспектори, односно службеници овлашћени за вршење инспекцијског надзора (област стручног усавршавања и тематске целине програма обуке, као и број учесника у свакој тематској целини, а ако је по завршетку програма вршена провера знања учесника и подаци о оствареном успеху)</w:t>
      </w:r>
      <w:r w:rsidR="007951E6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. </w:t>
      </w:r>
      <w:r w:rsidR="0088797D">
        <w:rPr>
          <w:rFonts w:ascii="Times New Roman" w:hAnsi="Times New Roman" w:cs="Times New Roman"/>
          <w:sz w:val="28"/>
          <w:szCs w:val="28"/>
          <w:lang w:val="sr-Cyrl-CS"/>
        </w:rPr>
        <w:t>У току 202</w:t>
      </w:r>
      <w:r w:rsidR="008334D7">
        <w:rPr>
          <w:rFonts w:ascii="Times New Roman" w:hAnsi="Times New Roman" w:cs="Times New Roman"/>
          <w:sz w:val="28"/>
          <w:szCs w:val="28"/>
          <w:lang w:val="sr-Cyrl-CS"/>
        </w:rPr>
        <w:t>2</w:t>
      </w:r>
      <w:r w:rsidR="00E23D9F">
        <w:rPr>
          <w:rFonts w:ascii="Times New Roman" w:hAnsi="Times New Roman" w:cs="Times New Roman"/>
          <w:sz w:val="28"/>
          <w:szCs w:val="28"/>
          <w:lang w:val="sr-Cyrl-CS"/>
        </w:rPr>
        <w:t>. г</w:t>
      </w:r>
      <w:r w:rsidR="007951E6">
        <w:rPr>
          <w:rFonts w:ascii="Times New Roman" w:hAnsi="Times New Roman" w:cs="Times New Roman"/>
          <w:sz w:val="28"/>
          <w:szCs w:val="28"/>
          <w:lang w:val="sr-Cyrl-CS"/>
        </w:rPr>
        <w:t>одине инспекто</w:t>
      </w:r>
      <w:r w:rsidR="0074256E">
        <w:rPr>
          <w:rFonts w:ascii="Times New Roman" w:hAnsi="Times New Roman" w:cs="Times New Roman"/>
          <w:sz w:val="28"/>
          <w:szCs w:val="28"/>
          <w:lang w:val="sr-Cyrl-CS"/>
        </w:rPr>
        <w:t>р за заштиту животне средине</w:t>
      </w:r>
      <w:r w:rsidR="007951E6">
        <w:rPr>
          <w:rFonts w:ascii="Times New Roman" w:hAnsi="Times New Roman" w:cs="Times New Roman"/>
          <w:sz w:val="28"/>
          <w:szCs w:val="28"/>
          <w:lang w:val="sr-Cyrl-CS"/>
        </w:rPr>
        <w:t xml:space="preserve"> је </w:t>
      </w:r>
      <w:r w:rsidR="0074256E">
        <w:rPr>
          <w:rFonts w:ascii="Times New Roman" w:hAnsi="Times New Roman" w:cs="Times New Roman"/>
          <w:sz w:val="28"/>
          <w:szCs w:val="28"/>
          <w:lang w:val="sr-Cyrl-CS"/>
        </w:rPr>
        <w:t>учествовао у активностима као еко повереник при СКГО</w:t>
      </w:r>
      <w:r w:rsidR="007951E6" w:rsidRPr="0074256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4E002A">
        <w:rPr>
          <w:rFonts w:ascii="Times New Roman" w:hAnsi="Times New Roman" w:cs="Times New Roman"/>
          <w:sz w:val="28"/>
          <w:szCs w:val="28"/>
          <w:lang w:val="sr-Cyrl-CS"/>
        </w:rPr>
        <w:t xml:space="preserve">(са </w:t>
      </w:r>
      <w:r w:rsidR="0074256E">
        <w:rPr>
          <w:rFonts w:ascii="Times New Roman" w:hAnsi="Times New Roman" w:cs="Times New Roman"/>
          <w:sz w:val="28"/>
          <w:szCs w:val="28"/>
          <w:lang w:val="sr-Cyrl-CS"/>
        </w:rPr>
        <w:t>п</w:t>
      </w:r>
      <w:r w:rsidR="00C23910">
        <w:rPr>
          <w:rFonts w:ascii="Times New Roman" w:hAnsi="Times New Roman" w:cs="Times New Roman"/>
          <w:sz w:val="28"/>
          <w:szCs w:val="28"/>
          <w:lang w:val="sr-Cyrl-CS"/>
        </w:rPr>
        <w:t>рослеђивање</w:t>
      </w:r>
      <w:r w:rsidR="004E002A">
        <w:rPr>
          <w:rFonts w:ascii="Times New Roman" w:hAnsi="Times New Roman" w:cs="Times New Roman"/>
          <w:sz w:val="28"/>
          <w:szCs w:val="28"/>
          <w:lang w:val="sr-Cyrl-CS"/>
        </w:rPr>
        <w:t>м</w:t>
      </w:r>
      <w:r w:rsidR="00C23910">
        <w:rPr>
          <w:rFonts w:ascii="Times New Roman" w:hAnsi="Times New Roman" w:cs="Times New Roman"/>
          <w:sz w:val="28"/>
          <w:szCs w:val="28"/>
          <w:lang w:val="sr-Cyrl-CS"/>
        </w:rPr>
        <w:t xml:space="preserve"> података и упитника</w:t>
      </w:r>
      <w:r w:rsidR="0074256E">
        <w:rPr>
          <w:rFonts w:ascii="Times New Roman" w:hAnsi="Times New Roman" w:cs="Times New Roman"/>
          <w:sz w:val="28"/>
          <w:szCs w:val="28"/>
          <w:lang w:val="sr-Cyrl-CS"/>
        </w:rPr>
        <w:t>).</w:t>
      </w:r>
      <w:r w:rsidR="00707895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583B5B">
        <w:rPr>
          <w:rFonts w:ascii="Times New Roman" w:hAnsi="Times New Roman" w:cs="Times New Roman"/>
          <w:sz w:val="28"/>
          <w:szCs w:val="28"/>
          <w:lang w:val="sr-Cyrl-CS"/>
        </w:rPr>
        <w:t xml:space="preserve">Учешће инспектора је било и на </w:t>
      </w:r>
      <w:r w:rsidR="00E16EF7">
        <w:rPr>
          <w:rFonts w:ascii="Times New Roman" w:hAnsi="Times New Roman" w:cs="Times New Roman"/>
          <w:sz w:val="28"/>
          <w:szCs w:val="28"/>
          <w:lang w:val="sr-Cyrl-CS"/>
        </w:rPr>
        <w:t>следећим</w:t>
      </w:r>
      <w:r w:rsidR="00C23910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6978E2">
        <w:rPr>
          <w:rFonts w:ascii="Times New Roman" w:hAnsi="Times New Roman" w:cs="Times New Roman"/>
          <w:sz w:val="28"/>
          <w:szCs w:val="28"/>
          <w:lang w:val="sr-Cyrl-CS"/>
        </w:rPr>
        <w:t xml:space="preserve">обукама: </w:t>
      </w:r>
      <w:r w:rsidR="00C23910">
        <w:rPr>
          <w:rFonts w:ascii="Times New Roman" w:hAnsi="Times New Roman" w:cs="Times New Roman"/>
          <w:sz w:val="28"/>
          <w:szCs w:val="28"/>
          <w:lang w:val="sr-Cyrl-CS"/>
        </w:rPr>
        <w:t>вебинар</w:t>
      </w:r>
      <w:r w:rsidR="006978E2">
        <w:rPr>
          <w:rFonts w:ascii="Times New Roman" w:hAnsi="Times New Roman" w:cs="Times New Roman"/>
          <w:sz w:val="28"/>
          <w:szCs w:val="28"/>
          <w:lang w:val="sr-Cyrl-CS"/>
        </w:rPr>
        <w:t xml:space="preserve">: </w:t>
      </w:r>
      <w:r w:rsidR="00C23910">
        <w:rPr>
          <w:rFonts w:ascii="Times New Roman" w:hAnsi="Times New Roman" w:cs="Times New Roman"/>
          <w:sz w:val="28"/>
          <w:szCs w:val="28"/>
          <w:lang w:val="sr-Cyrl-CS"/>
        </w:rPr>
        <w:t>''</w:t>
      </w:r>
      <w:r w:rsidR="006978E2">
        <w:rPr>
          <w:rFonts w:ascii="Times New Roman" w:hAnsi="Times New Roman" w:cs="Times New Roman"/>
          <w:sz w:val="28"/>
          <w:szCs w:val="28"/>
          <w:lang w:val="sr-Cyrl-CS"/>
        </w:rPr>
        <w:t xml:space="preserve"> Планирање и управљање заштитом животне средине у локалној самоуправи ''; семинар: ''Стокхолм + 50 националне консултације у Србији – Животна средина и здравље''; вебинар: ''Управљање комуналним отпадом, прикупљање података и извештавање''; семинар: ''Зелено друштво и одрживи начин живота''; вебинар: ''Зелени савети – обавезе, могућности и изазови''</w:t>
      </w:r>
      <w:r w:rsidR="00583B5B">
        <w:rPr>
          <w:rFonts w:ascii="Times New Roman" w:hAnsi="Times New Roman" w:cs="Times New Roman"/>
          <w:sz w:val="28"/>
          <w:szCs w:val="28"/>
          <w:lang w:val="sr-Cyrl-CS"/>
        </w:rPr>
        <w:t>.</w:t>
      </w:r>
      <w:r w:rsidR="009A4131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7951E6" w:rsidRPr="0074256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6756E3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7951E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Иницијативе за измене и допуне закона и др.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89681C">
        <w:rPr>
          <w:rFonts w:ascii="Times New Roman" w:hAnsi="Times New Roman" w:cs="Times New Roman"/>
          <w:b/>
          <w:sz w:val="28"/>
          <w:szCs w:val="28"/>
          <w:lang w:val="sr-Cyrl-CS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рописа. </w:t>
      </w:r>
      <w:r w:rsidR="00FA2372">
        <w:rPr>
          <w:rFonts w:ascii="Times New Roman" w:hAnsi="Times New Roman" w:cs="Times New Roman"/>
          <w:sz w:val="28"/>
          <w:szCs w:val="28"/>
          <w:lang w:val="sr-Cyrl-CS"/>
        </w:rPr>
        <w:t>Током 202</w:t>
      </w:r>
      <w:r w:rsidR="006978E2">
        <w:rPr>
          <w:rFonts w:ascii="Times New Roman" w:hAnsi="Times New Roman" w:cs="Times New Roman"/>
          <w:sz w:val="28"/>
          <w:szCs w:val="28"/>
          <w:lang w:val="sr-Cyrl-CS"/>
        </w:rPr>
        <w:t>2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 године </w:t>
      </w:r>
      <w:r w:rsidR="006756E3">
        <w:rPr>
          <w:rFonts w:ascii="Times New Roman" w:hAnsi="Times New Roman" w:cs="Times New Roman"/>
          <w:sz w:val="28"/>
          <w:szCs w:val="28"/>
          <w:lang w:val="sr-Cyrl-CS"/>
        </w:rPr>
        <w:t>није било иницијатива те врсте</w:t>
      </w:r>
      <w:r>
        <w:rPr>
          <w:rFonts w:ascii="Times New Roman" w:hAnsi="Times New Roman" w:cs="Times New Roman"/>
          <w:sz w:val="28"/>
          <w:szCs w:val="28"/>
          <w:lang w:val="sr-Cyrl-CS"/>
        </w:rPr>
        <w:t>.</w:t>
      </w:r>
    </w:p>
    <w:p w:rsidR="007951E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Мере и провере ажурности података у информационом систему.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6756E3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>Инспектор дост</w:t>
      </w:r>
      <w:r w:rsidR="006756E3">
        <w:rPr>
          <w:rFonts w:ascii="Times New Roman" w:hAnsi="Times New Roman" w:cs="Times New Roman"/>
          <w:sz w:val="28"/>
          <w:szCs w:val="28"/>
          <w:lang w:val="sr-Cyrl-CS"/>
        </w:rPr>
        <w:t>авља све извештаје и акте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за објављивање на сајт, као и сва обавештења о евентуалним планираним акцијама које се односе на територију целе Општине.</w:t>
      </w:r>
    </w:p>
    <w:p w:rsidR="007951E6" w:rsidRDefault="007951E6" w:rsidP="007951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Стање у области извршавања поверених послова. </w:t>
      </w:r>
      <w:r>
        <w:rPr>
          <w:rFonts w:ascii="Times New Roman" w:hAnsi="Times New Roman" w:cs="Times New Roman"/>
          <w:sz w:val="28"/>
          <w:szCs w:val="28"/>
          <w:lang w:val="sr-Cyrl-CS"/>
        </w:rPr>
        <w:t>инспектор врши поверене послове по  сету Закона о заштити жи</w:t>
      </w:r>
      <w:r w:rsidR="00FC3C0A">
        <w:rPr>
          <w:rFonts w:ascii="Times New Roman" w:hAnsi="Times New Roman" w:cs="Times New Roman"/>
          <w:sz w:val="28"/>
          <w:szCs w:val="28"/>
          <w:lang w:val="sr-Cyrl-CS"/>
        </w:rPr>
        <w:t>вотне средине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и све друге послове које одреди председник општине</w:t>
      </w:r>
      <w:r w:rsidR="00FC3C0A">
        <w:rPr>
          <w:rFonts w:ascii="Times New Roman" w:hAnsi="Times New Roman" w:cs="Times New Roman"/>
          <w:sz w:val="28"/>
          <w:szCs w:val="28"/>
          <w:lang w:val="sr-Cyrl-CS"/>
        </w:rPr>
        <w:t>, начелник ОУ, начелник одељења.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</w:t>
      </w:r>
    </w:p>
    <w:p w:rsidR="00C15D83" w:rsidRDefault="007951E6" w:rsidP="005215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Исх</w:t>
      </w:r>
      <w:r w:rsidR="003E07C8">
        <w:rPr>
          <w:rFonts w:ascii="Times New Roman" w:hAnsi="Times New Roman" w:cs="Times New Roman"/>
          <w:b/>
          <w:sz w:val="28"/>
          <w:szCs w:val="28"/>
          <w:lang w:val="sr-Cyrl-CS"/>
        </w:rPr>
        <w:t>од поступања правосудних органа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3E07C8">
        <w:rPr>
          <w:rFonts w:ascii="Times New Roman" w:hAnsi="Times New Roman" w:cs="Times New Roman"/>
          <w:sz w:val="28"/>
          <w:szCs w:val="28"/>
          <w:lang w:val="sr-Cyrl-CS"/>
        </w:rPr>
        <w:t xml:space="preserve"> Није било прослеђених пријава</w:t>
      </w:r>
      <w:r w:rsidRPr="00521563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C15D83" w:rsidRDefault="00C15D83" w:rsidP="00C15D83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7951E6" w:rsidRPr="00C15D83" w:rsidRDefault="007951E6" w:rsidP="00C15D83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C15D83">
        <w:rPr>
          <w:rFonts w:ascii="Times New Roman" w:hAnsi="Times New Roman" w:cs="Times New Roman"/>
          <w:sz w:val="28"/>
          <w:szCs w:val="28"/>
          <w:lang w:val="sr-Cyrl-CS"/>
        </w:rPr>
        <w:t xml:space="preserve">     </w:t>
      </w:r>
    </w:p>
    <w:p w:rsidR="00C15D83" w:rsidRDefault="007951E6" w:rsidP="00C15D8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                                                  </w:t>
      </w:r>
      <w:r w:rsidR="00FC3C0A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           </w:t>
      </w:r>
      <w:r w:rsidR="005628AA">
        <w:rPr>
          <w:rFonts w:ascii="Times New Roman" w:eastAsia="Times New Roman" w:hAnsi="Times New Roman" w:cs="Times New Roman"/>
          <w:bCs/>
          <w:sz w:val="28"/>
          <w:szCs w:val="28"/>
          <w:lang w:val="sr-Cyrl-CS"/>
        </w:rPr>
        <w:t xml:space="preserve">        </w:t>
      </w:r>
      <w:r w:rsidR="00C15D83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Шеф Одсека за инспекцијске послове</w:t>
      </w:r>
    </w:p>
    <w:p w:rsidR="00FC3C0A" w:rsidRPr="003E07C8" w:rsidRDefault="005628AA" w:rsidP="00C15D8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="00FC3C0A" w:rsidRPr="003E07C8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 xml:space="preserve">                                                                   </w:t>
      </w:r>
    </w:p>
    <w:p w:rsidR="007C2CF9" w:rsidRDefault="007951E6" w:rsidP="00FC31F7">
      <w:pPr>
        <w:jc w:val="center"/>
      </w:pPr>
      <w:r w:rsidRPr="003E07C8">
        <w:rPr>
          <w:b/>
        </w:rPr>
        <w:t xml:space="preserve">                               </w:t>
      </w:r>
      <w:r w:rsidR="00FC3C0A" w:rsidRPr="003E07C8">
        <w:rPr>
          <w:b/>
          <w:lang w:val="sr-Cyrl-CS"/>
        </w:rPr>
        <w:t xml:space="preserve">                                 </w:t>
      </w:r>
      <w:r w:rsidR="003E07C8" w:rsidRPr="003E07C8">
        <w:rPr>
          <w:b/>
          <w:lang w:val="sr-Cyrl-CS"/>
        </w:rPr>
        <w:t xml:space="preserve">    </w:t>
      </w:r>
      <w:r w:rsidR="00FC3C0A" w:rsidRPr="003E07C8">
        <w:rPr>
          <w:b/>
          <w:lang w:val="sr-Cyrl-CS"/>
        </w:rPr>
        <w:t xml:space="preserve">  </w:t>
      </w:r>
      <w:r w:rsidR="003E07C8">
        <w:rPr>
          <w:b/>
          <w:lang w:val="sr-Cyrl-CS"/>
        </w:rPr>
        <w:t xml:space="preserve">   </w:t>
      </w:r>
      <w:r w:rsidR="00C15D83">
        <w:rPr>
          <w:b/>
          <w:lang w:val="sr-Cyrl-CS"/>
        </w:rPr>
        <w:t xml:space="preserve">          </w:t>
      </w:r>
      <w:r w:rsidRPr="003E07C8">
        <w:rPr>
          <w:b/>
        </w:rPr>
        <w:t xml:space="preserve"> </w:t>
      </w:r>
      <w:r w:rsidR="00FC3C0A" w:rsidRPr="0045792D">
        <w:rPr>
          <w:rFonts w:ascii="Times New Roman" w:hAnsi="Times New Roman" w:cs="Times New Roman"/>
          <w:b/>
          <w:sz w:val="28"/>
          <w:szCs w:val="28"/>
          <w:lang w:val="sr-Cyrl-CS"/>
        </w:rPr>
        <w:t>Весна Барјактаревић</w:t>
      </w:r>
    </w:p>
    <w:sectPr w:rsidR="007C2CF9" w:rsidSect="00017777">
      <w:pgSz w:w="12240" w:h="15840"/>
      <w:pgMar w:top="1077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078" w:rsidRDefault="00464078" w:rsidP="00AD6AB1">
      <w:pPr>
        <w:spacing w:after="0" w:line="240" w:lineRule="auto"/>
      </w:pPr>
      <w:r>
        <w:separator/>
      </w:r>
    </w:p>
  </w:endnote>
  <w:endnote w:type="continuationSeparator" w:id="0">
    <w:p w:rsidR="00464078" w:rsidRDefault="00464078" w:rsidP="00AD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9C" w:rsidRDefault="00754B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2516"/>
      <w:docPartObj>
        <w:docPartGallery w:val="Page Numbers (Bottom of Page)"/>
        <w:docPartUnique/>
      </w:docPartObj>
    </w:sdtPr>
    <w:sdtContent>
      <w:p w:rsidR="00754B9C" w:rsidRDefault="000958D3">
        <w:pPr>
          <w:pStyle w:val="Footer"/>
          <w:jc w:val="center"/>
        </w:pPr>
        <w:fldSimple w:instr=" PAGE   \* MERGEFORMAT ">
          <w:r w:rsidR="008334D7">
            <w:rPr>
              <w:noProof/>
            </w:rPr>
            <w:t>10</w:t>
          </w:r>
        </w:fldSimple>
      </w:p>
    </w:sdtContent>
  </w:sdt>
  <w:p w:rsidR="00754B9C" w:rsidRDefault="00754B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9C" w:rsidRDefault="00754B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078" w:rsidRDefault="00464078" w:rsidP="00AD6AB1">
      <w:pPr>
        <w:spacing w:after="0" w:line="240" w:lineRule="auto"/>
      </w:pPr>
      <w:r>
        <w:separator/>
      </w:r>
    </w:p>
  </w:footnote>
  <w:footnote w:type="continuationSeparator" w:id="0">
    <w:p w:rsidR="00464078" w:rsidRDefault="00464078" w:rsidP="00AD6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9C" w:rsidRDefault="00754B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9C" w:rsidRDefault="00754B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9C" w:rsidRDefault="00754B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E7FFD"/>
    <w:multiLevelType w:val="hybridMultilevel"/>
    <w:tmpl w:val="54907C96"/>
    <w:lvl w:ilvl="0" w:tplc="37645E7C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decimal"/>
      <w:lvlText w:val="%2."/>
      <w:lvlJc w:val="left"/>
      <w:pPr>
        <w:tabs>
          <w:tab w:val="num" w:pos="-76"/>
        </w:tabs>
        <w:ind w:left="-76" w:hanging="360"/>
      </w:pPr>
    </w:lvl>
    <w:lvl w:ilvl="2" w:tplc="0409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1364"/>
        </w:tabs>
        <w:ind w:left="13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3524"/>
        </w:tabs>
        <w:ind w:left="35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4244"/>
        </w:tabs>
        <w:ind w:left="42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4964"/>
        </w:tabs>
        <w:ind w:left="4964" w:hanging="360"/>
      </w:pPr>
    </w:lvl>
  </w:abstractNum>
  <w:abstractNum w:abstractNumId="1">
    <w:nsid w:val="7E8A4199"/>
    <w:multiLevelType w:val="hybridMultilevel"/>
    <w:tmpl w:val="DABE2404"/>
    <w:lvl w:ilvl="0" w:tplc="3B323E34">
      <w:start w:val="1"/>
      <w:numFmt w:val="decimal"/>
      <w:lvlText w:val="%1.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51E6"/>
    <w:rsid w:val="000010B7"/>
    <w:rsid w:val="00012865"/>
    <w:rsid w:val="00017777"/>
    <w:rsid w:val="00021965"/>
    <w:rsid w:val="00022609"/>
    <w:rsid w:val="0002391F"/>
    <w:rsid w:val="00024D44"/>
    <w:rsid w:val="00063125"/>
    <w:rsid w:val="0008590B"/>
    <w:rsid w:val="00086486"/>
    <w:rsid w:val="000958D3"/>
    <w:rsid w:val="000A6E50"/>
    <w:rsid w:val="000B6602"/>
    <w:rsid w:val="000B7C0F"/>
    <w:rsid w:val="000C7A81"/>
    <w:rsid w:val="000D3241"/>
    <w:rsid w:val="00150415"/>
    <w:rsid w:val="00170440"/>
    <w:rsid w:val="00174DCC"/>
    <w:rsid w:val="001837C9"/>
    <w:rsid w:val="00185983"/>
    <w:rsid w:val="001A15D4"/>
    <w:rsid w:val="001A6322"/>
    <w:rsid w:val="001C3846"/>
    <w:rsid w:val="001C4C6C"/>
    <w:rsid w:val="001D3E36"/>
    <w:rsid w:val="001D68A1"/>
    <w:rsid w:val="0020381D"/>
    <w:rsid w:val="00215446"/>
    <w:rsid w:val="002333E7"/>
    <w:rsid w:val="00234649"/>
    <w:rsid w:val="0024455B"/>
    <w:rsid w:val="00260C6B"/>
    <w:rsid w:val="00272BA8"/>
    <w:rsid w:val="00290DA5"/>
    <w:rsid w:val="0029243B"/>
    <w:rsid w:val="002B0C8D"/>
    <w:rsid w:val="002B3979"/>
    <w:rsid w:val="002E7154"/>
    <w:rsid w:val="002E7536"/>
    <w:rsid w:val="002F4BB9"/>
    <w:rsid w:val="00307DA0"/>
    <w:rsid w:val="00310276"/>
    <w:rsid w:val="00330242"/>
    <w:rsid w:val="00337900"/>
    <w:rsid w:val="00341806"/>
    <w:rsid w:val="00351350"/>
    <w:rsid w:val="00354CB1"/>
    <w:rsid w:val="00363561"/>
    <w:rsid w:val="003744F7"/>
    <w:rsid w:val="00382709"/>
    <w:rsid w:val="003862EF"/>
    <w:rsid w:val="00394A13"/>
    <w:rsid w:val="003B1F89"/>
    <w:rsid w:val="003B2D10"/>
    <w:rsid w:val="003B3A81"/>
    <w:rsid w:val="003B6EBA"/>
    <w:rsid w:val="003E07C8"/>
    <w:rsid w:val="003E5083"/>
    <w:rsid w:val="004014E8"/>
    <w:rsid w:val="00413DAD"/>
    <w:rsid w:val="004141C0"/>
    <w:rsid w:val="004231B7"/>
    <w:rsid w:val="00424D65"/>
    <w:rsid w:val="00426670"/>
    <w:rsid w:val="0045792D"/>
    <w:rsid w:val="00463F58"/>
    <w:rsid w:val="00464078"/>
    <w:rsid w:val="0046500C"/>
    <w:rsid w:val="00473FEB"/>
    <w:rsid w:val="00485C46"/>
    <w:rsid w:val="00496B61"/>
    <w:rsid w:val="004A3A04"/>
    <w:rsid w:val="004C36FF"/>
    <w:rsid w:val="004D1218"/>
    <w:rsid w:val="004D1623"/>
    <w:rsid w:val="004D2DA3"/>
    <w:rsid w:val="004D3B0A"/>
    <w:rsid w:val="004D4A00"/>
    <w:rsid w:val="004E002A"/>
    <w:rsid w:val="00510E63"/>
    <w:rsid w:val="00514875"/>
    <w:rsid w:val="00520EDE"/>
    <w:rsid w:val="00521563"/>
    <w:rsid w:val="00537277"/>
    <w:rsid w:val="00547024"/>
    <w:rsid w:val="005628AA"/>
    <w:rsid w:val="00575F5D"/>
    <w:rsid w:val="00581408"/>
    <w:rsid w:val="00583B5B"/>
    <w:rsid w:val="00594603"/>
    <w:rsid w:val="00596481"/>
    <w:rsid w:val="005A1C1D"/>
    <w:rsid w:val="005A7518"/>
    <w:rsid w:val="005B060F"/>
    <w:rsid w:val="005B0B7B"/>
    <w:rsid w:val="005B0D47"/>
    <w:rsid w:val="005B67A5"/>
    <w:rsid w:val="005C325E"/>
    <w:rsid w:val="005D226C"/>
    <w:rsid w:val="006024BF"/>
    <w:rsid w:val="00610480"/>
    <w:rsid w:val="00614D17"/>
    <w:rsid w:val="0063339A"/>
    <w:rsid w:val="00637D7A"/>
    <w:rsid w:val="00642940"/>
    <w:rsid w:val="0065279A"/>
    <w:rsid w:val="006648C1"/>
    <w:rsid w:val="00664EED"/>
    <w:rsid w:val="006756E3"/>
    <w:rsid w:val="00677706"/>
    <w:rsid w:val="006978E2"/>
    <w:rsid w:val="006A1617"/>
    <w:rsid w:val="006B0B32"/>
    <w:rsid w:val="006B2859"/>
    <w:rsid w:val="006D7A50"/>
    <w:rsid w:val="006E6C45"/>
    <w:rsid w:val="006F1D24"/>
    <w:rsid w:val="00704C26"/>
    <w:rsid w:val="00707895"/>
    <w:rsid w:val="007120F0"/>
    <w:rsid w:val="00712F94"/>
    <w:rsid w:val="0074256E"/>
    <w:rsid w:val="00746F41"/>
    <w:rsid w:val="0075166A"/>
    <w:rsid w:val="00753731"/>
    <w:rsid w:val="00754B9C"/>
    <w:rsid w:val="00774D41"/>
    <w:rsid w:val="00781637"/>
    <w:rsid w:val="00785910"/>
    <w:rsid w:val="007951E6"/>
    <w:rsid w:val="0079739E"/>
    <w:rsid w:val="007B2E94"/>
    <w:rsid w:val="007B31DD"/>
    <w:rsid w:val="007B6AFD"/>
    <w:rsid w:val="007B796B"/>
    <w:rsid w:val="007C1EB4"/>
    <w:rsid w:val="007C2CF9"/>
    <w:rsid w:val="007D3E31"/>
    <w:rsid w:val="008066C8"/>
    <w:rsid w:val="00814522"/>
    <w:rsid w:val="00823BBE"/>
    <w:rsid w:val="008334D7"/>
    <w:rsid w:val="008378C6"/>
    <w:rsid w:val="00845B1B"/>
    <w:rsid w:val="0084685E"/>
    <w:rsid w:val="00857150"/>
    <w:rsid w:val="008658CE"/>
    <w:rsid w:val="0087034C"/>
    <w:rsid w:val="008850F7"/>
    <w:rsid w:val="0088797D"/>
    <w:rsid w:val="00895DE4"/>
    <w:rsid w:val="008A09D0"/>
    <w:rsid w:val="008B5E03"/>
    <w:rsid w:val="008D0176"/>
    <w:rsid w:val="008D2550"/>
    <w:rsid w:val="008D662B"/>
    <w:rsid w:val="008E779B"/>
    <w:rsid w:val="008F17BA"/>
    <w:rsid w:val="008F40D3"/>
    <w:rsid w:val="00923CED"/>
    <w:rsid w:val="009260A7"/>
    <w:rsid w:val="00931BA6"/>
    <w:rsid w:val="009376E0"/>
    <w:rsid w:val="009537DF"/>
    <w:rsid w:val="00963A87"/>
    <w:rsid w:val="00976AE7"/>
    <w:rsid w:val="0099294A"/>
    <w:rsid w:val="00995E57"/>
    <w:rsid w:val="00997F2B"/>
    <w:rsid w:val="009A1C2E"/>
    <w:rsid w:val="009A2028"/>
    <w:rsid w:val="009A4131"/>
    <w:rsid w:val="009A4C3A"/>
    <w:rsid w:val="009A5ADE"/>
    <w:rsid w:val="009B3D41"/>
    <w:rsid w:val="009C2A71"/>
    <w:rsid w:val="009C7D83"/>
    <w:rsid w:val="009D05A1"/>
    <w:rsid w:val="009E664C"/>
    <w:rsid w:val="009F2158"/>
    <w:rsid w:val="009F3360"/>
    <w:rsid w:val="00A00851"/>
    <w:rsid w:val="00A008AD"/>
    <w:rsid w:val="00A24A85"/>
    <w:rsid w:val="00A3092B"/>
    <w:rsid w:val="00A45A1E"/>
    <w:rsid w:val="00A47DF5"/>
    <w:rsid w:val="00A70FFE"/>
    <w:rsid w:val="00A738CB"/>
    <w:rsid w:val="00A73B8F"/>
    <w:rsid w:val="00A8677B"/>
    <w:rsid w:val="00A94884"/>
    <w:rsid w:val="00A96309"/>
    <w:rsid w:val="00AA38B8"/>
    <w:rsid w:val="00AB10D8"/>
    <w:rsid w:val="00AD6AB1"/>
    <w:rsid w:val="00AD6D01"/>
    <w:rsid w:val="00AE0858"/>
    <w:rsid w:val="00B17B05"/>
    <w:rsid w:val="00B3765F"/>
    <w:rsid w:val="00B47A6D"/>
    <w:rsid w:val="00B53286"/>
    <w:rsid w:val="00B635E8"/>
    <w:rsid w:val="00B7707D"/>
    <w:rsid w:val="00BB5A96"/>
    <w:rsid w:val="00BC18CF"/>
    <w:rsid w:val="00BD4404"/>
    <w:rsid w:val="00BE4E02"/>
    <w:rsid w:val="00BF4473"/>
    <w:rsid w:val="00C068EC"/>
    <w:rsid w:val="00C15D83"/>
    <w:rsid w:val="00C23910"/>
    <w:rsid w:val="00C60538"/>
    <w:rsid w:val="00C7540B"/>
    <w:rsid w:val="00C7635D"/>
    <w:rsid w:val="00C76896"/>
    <w:rsid w:val="00C8599D"/>
    <w:rsid w:val="00C87F7F"/>
    <w:rsid w:val="00C92B22"/>
    <w:rsid w:val="00C94BBE"/>
    <w:rsid w:val="00CC6101"/>
    <w:rsid w:val="00CD1E13"/>
    <w:rsid w:val="00CE18A2"/>
    <w:rsid w:val="00CE284B"/>
    <w:rsid w:val="00D169FE"/>
    <w:rsid w:val="00D33D14"/>
    <w:rsid w:val="00D35A4B"/>
    <w:rsid w:val="00D74125"/>
    <w:rsid w:val="00D74754"/>
    <w:rsid w:val="00D7581F"/>
    <w:rsid w:val="00D75EC9"/>
    <w:rsid w:val="00DA3C67"/>
    <w:rsid w:val="00DA4A91"/>
    <w:rsid w:val="00DB5D24"/>
    <w:rsid w:val="00DB7CF4"/>
    <w:rsid w:val="00DE391A"/>
    <w:rsid w:val="00DF0458"/>
    <w:rsid w:val="00DF1890"/>
    <w:rsid w:val="00DF6309"/>
    <w:rsid w:val="00E02526"/>
    <w:rsid w:val="00E06250"/>
    <w:rsid w:val="00E14AD1"/>
    <w:rsid w:val="00E16EF7"/>
    <w:rsid w:val="00E23D9F"/>
    <w:rsid w:val="00E26498"/>
    <w:rsid w:val="00E27153"/>
    <w:rsid w:val="00E46B48"/>
    <w:rsid w:val="00E72134"/>
    <w:rsid w:val="00E83BEA"/>
    <w:rsid w:val="00E915E5"/>
    <w:rsid w:val="00E91889"/>
    <w:rsid w:val="00E932FF"/>
    <w:rsid w:val="00E95014"/>
    <w:rsid w:val="00E96E35"/>
    <w:rsid w:val="00EA138D"/>
    <w:rsid w:val="00EA7C1F"/>
    <w:rsid w:val="00EC65BE"/>
    <w:rsid w:val="00EE1BD8"/>
    <w:rsid w:val="00EE4922"/>
    <w:rsid w:val="00EE4ACD"/>
    <w:rsid w:val="00EF4C49"/>
    <w:rsid w:val="00F02E16"/>
    <w:rsid w:val="00F119D4"/>
    <w:rsid w:val="00F16760"/>
    <w:rsid w:val="00F1753D"/>
    <w:rsid w:val="00F21434"/>
    <w:rsid w:val="00F32EC3"/>
    <w:rsid w:val="00F63F1D"/>
    <w:rsid w:val="00F843E1"/>
    <w:rsid w:val="00FA0420"/>
    <w:rsid w:val="00FA2372"/>
    <w:rsid w:val="00FB5274"/>
    <w:rsid w:val="00FB7E0C"/>
    <w:rsid w:val="00FC31F7"/>
    <w:rsid w:val="00FC3C0A"/>
    <w:rsid w:val="00FE656A"/>
    <w:rsid w:val="00FF073C"/>
    <w:rsid w:val="00FF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951E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E18A2"/>
    <w:rPr>
      <w:i/>
      <w:iCs/>
    </w:rPr>
  </w:style>
  <w:style w:type="paragraph" w:styleId="NoSpacing">
    <w:name w:val="No Spacing"/>
    <w:uiPriority w:val="1"/>
    <w:qFormat/>
    <w:rsid w:val="00CE18A2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0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6A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AB1"/>
  </w:style>
  <w:style w:type="paragraph" w:styleId="Footer">
    <w:name w:val="footer"/>
    <w:basedOn w:val="Normal"/>
    <w:link w:val="FooterChar"/>
    <w:uiPriority w:val="99"/>
    <w:unhideWhenUsed/>
    <w:rsid w:val="00AD6A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A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1FD40-6C65-488C-8912-416339D5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10</Pages>
  <Words>2604</Words>
  <Characters>14846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Inspektori</dc:creator>
  <cp:keywords/>
  <dc:description/>
  <cp:lastModifiedBy>Inspektori</cp:lastModifiedBy>
  <cp:revision>17</cp:revision>
  <cp:lastPrinted>2021-03-01T11:59:00Z</cp:lastPrinted>
  <dcterms:created xsi:type="dcterms:W3CDTF">2023-02-09T10:04:00Z</dcterms:created>
  <dcterms:modified xsi:type="dcterms:W3CDTF">2023-02-17T11:11:00Z</dcterms:modified>
</cp:coreProperties>
</file>